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8EB" w14:textId="03233D92" w:rsidR="00A256DA" w:rsidRPr="00A256DA" w:rsidRDefault="00A256DA" w:rsidP="00A256DA">
      <w:pPr>
        <w:spacing w:before="0" w:after="160" w:line="278" w:lineRule="auto"/>
        <w:jc w:val="center"/>
        <w:rPr>
          <w:rFonts w:eastAsiaTheme="majorEastAsia" w:cstheme="majorBidi"/>
          <w:b/>
          <w:sz w:val="32"/>
          <w:szCs w:val="40"/>
        </w:rPr>
      </w:pPr>
      <w:r w:rsidRPr="00A256DA">
        <w:rPr>
          <w:rFonts w:eastAsiaTheme="majorEastAsia" w:cstheme="majorBidi"/>
          <w:b/>
          <w:sz w:val="32"/>
          <w:szCs w:val="40"/>
        </w:rPr>
        <w:t>Pennsylvania Assessments</w:t>
      </w:r>
      <w:r>
        <w:rPr>
          <w:rFonts w:eastAsiaTheme="majorEastAsia" w:cstheme="majorBidi"/>
          <w:b/>
          <w:sz w:val="32"/>
          <w:szCs w:val="40"/>
        </w:rPr>
        <w:t xml:space="preserve"> </w:t>
      </w:r>
      <w:r w:rsidRPr="00A256DA">
        <w:rPr>
          <w:rFonts w:eastAsiaTheme="majorEastAsia" w:cstheme="majorBidi"/>
          <w:b/>
          <w:sz w:val="32"/>
          <w:szCs w:val="40"/>
        </w:rPr>
        <w:t>Version 10 Training</w:t>
      </w:r>
    </w:p>
    <w:p w14:paraId="07A0E847" w14:textId="77777777" w:rsidR="00A256DA" w:rsidRDefault="00A256DA" w:rsidP="00A256DA">
      <w:pPr>
        <w:spacing w:before="0" w:after="160" w:line="278" w:lineRule="auto"/>
        <w:jc w:val="center"/>
        <w:rPr>
          <w:rFonts w:eastAsiaTheme="majorEastAsia" w:cstheme="majorBidi"/>
          <w:b/>
          <w:sz w:val="32"/>
          <w:szCs w:val="40"/>
        </w:rPr>
      </w:pPr>
      <w:r w:rsidRPr="00A256DA">
        <w:rPr>
          <w:rFonts w:eastAsiaTheme="majorEastAsia" w:cstheme="majorBidi"/>
          <w:b/>
          <w:sz w:val="32"/>
          <w:szCs w:val="40"/>
        </w:rPr>
        <w:t>Functional Eligibility Determination (FED) and</w:t>
      </w:r>
      <w:r>
        <w:rPr>
          <w:rFonts w:eastAsiaTheme="majorEastAsia" w:cstheme="majorBidi"/>
          <w:b/>
          <w:sz w:val="32"/>
          <w:szCs w:val="40"/>
        </w:rPr>
        <w:t xml:space="preserve"> </w:t>
      </w:r>
      <w:r w:rsidRPr="00A256DA">
        <w:rPr>
          <w:rFonts w:eastAsiaTheme="majorEastAsia" w:cstheme="majorBidi"/>
          <w:b/>
          <w:sz w:val="32"/>
          <w:szCs w:val="40"/>
        </w:rPr>
        <w:t>interRAI Comprehensive Needs Assessment</w:t>
      </w:r>
    </w:p>
    <w:p w14:paraId="23EF3E61" w14:textId="2485388C" w:rsidR="006A2D41" w:rsidRDefault="006A2D41" w:rsidP="00A256DA">
      <w:pPr>
        <w:spacing w:before="0" w:after="160" w:line="278" w:lineRule="auto"/>
      </w:pPr>
      <w:r>
        <w:br w:type="page"/>
      </w:r>
    </w:p>
    <w:sdt>
      <w:sdtPr>
        <w:rPr>
          <w:rFonts w:ascii="Arial" w:eastAsiaTheme="minorHAnsi" w:hAnsi="Arial" w:cstheme="minorBidi"/>
          <w:color w:val="000000" w:themeColor="text1"/>
          <w:kern w:val="2"/>
          <w:sz w:val="24"/>
          <w:szCs w:val="24"/>
          <w14:ligatures w14:val="standardContextual"/>
        </w:rPr>
        <w:id w:val="115650311"/>
        <w:docPartObj>
          <w:docPartGallery w:val="Table of Contents"/>
          <w:docPartUnique/>
        </w:docPartObj>
      </w:sdtPr>
      <w:sdtEndPr>
        <w:rPr>
          <w:b/>
          <w:bCs/>
          <w:noProof/>
        </w:rPr>
      </w:sdtEndPr>
      <w:sdtContent>
        <w:p w14:paraId="3FDCC29B" w14:textId="347A704F" w:rsidR="006A2D41" w:rsidRPr="006A2D41" w:rsidRDefault="006A2D41">
          <w:pPr>
            <w:pStyle w:val="TOCHeading"/>
            <w:rPr>
              <w:color w:val="000000" w:themeColor="text1"/>
            </w:rPr>
          </w:pPr>
          <w:r w:rsidRPr="006A2D41">
            <w:rPr>
              <w:color w:val="000000" w:themeColor="text1"/>
            </w:rPr>
            <w:t>Table of Contents</w:t>
          </w:r>
        </w:p>
        <w:p w14:paraId="1D2D20B5" w14:textId="0F3A0AB6" w:rsidR="00A256DA" w:rsidRDefault="006A2D41">
          <w:pPr>
            <w:pStyle w:val="TOC2"/>
            <w:tabs>
              <w:tab w:val="right" w:leader="dot" w:pos="9350"/>
            </w:tabs>
            <w:rPr>
              <w:rFonts w:asciiTheme="minorHAnsi" w:eastAsiaTheme="minorEastAsia" w:hAnsiTheme="minorHAnsi"/>
              <w:noProof/>
              <w:color w:val="auto"/>
            </w:rPr>
          </w:pPr>
          <w:r>
            <w:fldChar w:fldCharType="begin"/>
          </w:r>
          <w:r>
            <w:instrText xml:space="preserve"> TOC \o "1-3" \h \z \u </w:instrText>
          </w:r>
          <w:r>
            <w:fldChar w:fldCharType="separate"/>
          </w:r>
          <w:hyperlink w:anchor="_Toc233297970" w:history="1">
            <w:r w:rsidR="00A256DA" w:rsidRPr="005D3526">
              <w:rPr>
                <w:rStyle w:val="Hyperlink"/>
                <w:noProof/>
              </w:rPr>
              <w:t>Welcome</w:t>
            </w:r>
            <w:r w:rsidR="00A256DA">
              <w:rPr>
                <w:noProof/>
                <w:webHidden/>
              </w:rPr>
              <w:tab/>
            </w:r>
            <w:r w:rsidR="00A256DA">
              <w:rPr>
                <w:noProof/>
                <w:webHidden/>
              </w:rPr>
              <w:fldChar w:fldCharType="begin"/>
            </w:r>
            <w:r w:rsidR="00A256DA">
              <w:rPr>
                <w:noProof/>
                <w:webHidden/>
              </w:rPr>
              <w:instrText xml:space="preserve"> PAGEREF _Toc233297970 \h </w:instrText>
            </w:r>
            <w:r w:rsidR="00A256DA">
              <w:rPr>
                <w:noProof/>
                <w:webHidden/>
              </w:rPr>
            </w:r>
            <w:r w:rsidR="00A256DA">
              <w:rPr>
                <w:noProof/>
                <w:webHidden/>
              </w:rPr>
              <w:fldChar w:fldCharType="separate"/>
            </w:r>
            <w:r w:rsidR="00A256DA">
              <w:rPr>
                <w:noProof/>
                <w:webHidden/>
              </w:rPr>
              <w:t>4</w:t>
            </w:r>
            <w:r w:rsidR="00A256DA">
              <w:rPr>
                <w:noProof/>
                <w:webHidden/>
              </w:rPr>
              <w:fldChar w:fldCharType="end"/>
            </w:r>
          </w:hyperlink>
        </w:p>
        <w:p w14:paraId="674C8AFB" w14:textId="2BB56657" w:rsidR="00A256DA" w:rsidRDefault="00A256DA">
          <w:pPr>
            <w:pStyle w:val="TOC3"/>
            <w:tabs>
              <w:tab w:val="right" w:leader="dot" w:pos="9350"/>
            </w:tabs>
            <w:rPr>
              <w:rFonts w:asciiTheme="minorHAnsi" w:eastAsiaTheme="minorEastAsia" w:hAnsiTheme="minorHAnsi"/>
              <w:noProof/>
              <w:color w:val="auto"/>
            </w:rPr>
          </w:pPr>
          <w:hyperlink w:anchor="_Toc233297971" w:history="1">
            <w:r w:rsidRPr="005D3526">
              <w:rPr>
                <w:rStyle w:val="Hyperlink"/>
                <w:noProof/>
              </w:rPr>
              <w:t>Case Studies</w:t>
            </w:r>
            <w:r>
              <w:rPr>
                <w:noProof/>
                <w:webHidden/>
              </w:rPr>
              <w:tab/>
            </w:r>
            <w:r>
              <w:rPr>
                <w:noProof/>
                <w:webHidden/>
              </w:rPr>
              <w:fldChar w:fldCharType="begin"/>
            </w:r>
            <w:r>
              <w:rPr>
                <w:noProof/>
                <w:webHidden/>
              </w:rPr>
              <w:instrText xml:space="preserve"> PAGEREF _Toc233297971 \h </w:instrText>
            </w:r>
            <w:r>
              <w:rPr>
                <w:noProof/>
                <w:webHidden/>
              </w:rPr>
            </w:r>
            <w:r>
              <w:rPr>
                <w:noProof/>
                <w:webHidden/>
              </w:rPr>
              <w:fldChar w:fldCharType="separate"/>
            </w:r>
            <w:r>
              <w:rPr>
                <w:noProof/>
                <w:webHidden/>
              </w:rPr>
              <w:t>4</w:t>
            </w:r>
            <w:r>
              <w:rPr>
                <w:noProof/>
                <w:webHidden/>
              </w:rPr>
              <w:fldChar w:fldCharType="end"/>
            </w:r>
          </w:hyperlink>
        </w:p>
        <w:p w14:paraId="7E7CA71B" w14:textId="2137C801" w:rsidR="00A256DA" w:rsidRDefault="00A256DA">
          <w:pPr>
            <w:pStyle w:val="TOC3"/>
            <w:tabs>
              <w:tab w:val="right" w:leader="dot" w:pos="9350"/>
            </w:tabs>
            <w:rPr>
              <w:rFonts w:asciiTheme="minorHAnsi" w:eastAsiaTheme="minorEastAsia" w:hAnsiTheme="minorHAnsi"/>
              <w:noProof/>
              <w:color w:val="auto"/>
            </w:rPr>
          </w:pPr>
          <w:hyperlink w:anchor="_Toc233297972" w:history="1">
            <w:r w:rsidRPr="005D3526">
              <w:rPr>
                <w:rStyle w:val="Hyperlink"/>
                <w:noProof/>
              </w:rPr>
              <w:t>Certificate</w:t>
            </w:r>
            <w:r>
              <w:rPr>
                <w:noProof/>
                <w:webHidden/>
              </w:rPr>
              <w:tab/>
            </w:r>
            <w:r>
              <w:rPr>
                <w:noProof/>
                <w:webHidden/>
              </w:rPr>
              <w:fldChar w:fldCharType="begin"/>
            </w:r>
            <w:r>
              <w:rPr>
                <w:noProof/>
                <w:webHidden/>
              </w:rPr>
              <w:instrText xml:space="preserve"> PAGEREF _Toc233297972 \h </w:instrText>
            </w:r>
            <w:r>
              <w:rPr>
                <w:noProof/>
                <w:webHidden/>
              </w:rPr>
            </w:r>
            <w:r>
              <w:rPr>
                <w:noProof/>
                <w:webHidden/>
              </w:rPr>
              <w:fldChar w:fldCharType="separate"/>
            </w:r>
            <w:r>
              <w:rPr>
                <w:noProof/>
                <w:webHidden/>
              </w:rPr>
              <w:t>4</w:t>
            </w:r>
            <w:r>
              <w:rPr>
                <w:noProof/>
                <w:webHidden/>
              </w:rPr>
              <w:fldChar w:fldCharType="end"/>
            </w:r>
          </w:hyperlink>
        </w:p>
        <w:p w14:paraId="0F23B48B" w14:textId="558FC39A" w:rsidR="00A256DA" w:rsidRDefault="00A256DA">
          <w:pPr>
            <w:pStyle w:val="TOC3"/>
            <w:tabs>
              <w:tab w:val="right" w:leader="dot" w:pos="9350"/>
            </w:tabs>
            <w:rPr>
              <w:rFonts w:asciiTheme="minorHAnsi" w:eastAsiaTheme="minorEastAsia" w:hAnsiTheme="minorHAnsi"/>
              <w:noProof/>
              <w:color w:val="auto"/>
            </w:rPr>
          </w:pPr>
          <w:hyperlink w:anchor="_Toc233297973" w:history="1">
            <w:r w:rsidRPr="005D3526">
              <w:rPr>
                <w:rStyle w:val="Hyperlink"/>
                <w:noProof/>
              </w:rPr>
              <w:t>Training Goals &amp; Learning Outcomes</w:t>
            </w:r>
            <w:r>
              <w:rPr>
                <w:noProof/>
                <w:webHidden/>
              </w:rPr>
              <w:tab/>
            </w:r>
            <w:r>
              <w:rPr>
                <w:noProof/>
                <w:webHidden/>
              </w:rPr>
              <w:fldChar w:fldCharType="begin"/>
            </w:r>
            <w:r>
              <w:rPr>
                <w:noProof/>
                <w:webHidden/>
              </w:rPr>
              <w:instrText xml:space="preserve"> PAGEREF _Toc233297973 \h </w:instrText>
            </w:r>
            <w:r>
              <w:rPr>
                <w:noProof/>
                <w:webHidden/>
              </w:rPr>
            </w:r>
            <w:r>
              <w:rPr>
                <w:noProof/>
                <w:webHidden/>
              </w:rPr>
              <w:fldChar w:fldCharType="separate"/>
            </w:r>
            <w:r>
              <w:rPr>
                <w:noProof/>
                <w:webHidden/>
              </w:rPr>
              <w:t>4</w:t>
            </w:r>
            <w:r>
              <w:rPr>
                <w:noProof/>
                <w:webHidden/>
              </w:rPr>
              <w:fldChar w:fldCharType="end"/>
            </w:r>
          </w:hyperlink>
        </w:p>
        <w:p w14:paraId="67D1E42D" w14:textId="18EFB3B2" w:rsidR="00A256DA" w:rsidRDefault="00A256DA">
          <w:pPr>
            <w:pStyle w:val="TOC3"/>
            <w:tabs>
              <w:tab w:val="right" w:leader="dot" w:pos="9350"/>
            </w:tabs>
            <w:rPr>
              <w:rFonts w:asciiTheme="minorHAnsi" w:eastAsiaTheme="minorEastAsia" w:hAnsiTheme="minorHAnsi"/>
              <w:noProof/>
              <w:color w:val="auto"/>
            </w:rPr>
          </w:pPr>
          <w:hyperlink w:anchor="_Toc233297974" w:history="1">
            <w:r w:rsidRPr="005D3526">
              <w:rPr>
                <w:rStyle w:val="Hyperlink"/>
                <w:noProof/>
              </w:rPr>
              <w:t>Agenda</w:t>
            </w:r>
            <w:r>
              <w:rPr>
                <w:noProof/>
                <w:webHidden/>
              </w:rPr>
              <w:tab/>
            </w:r>
            <w:r>
              <w:rPr>
                <w:noProof/>
                <w:webHidden/>
              </w:rPr>
              <w:fldChar w:fldCharType="begin"/>
            </w:r>
            <w:r>
              <w:rPr>
                <w:noProof/>
                <w:webHidden/>
              </w:rPr>
              <w:instrText xml:space="preserve"> PAGEREF _Toc233297974 \h </w:instrText>
            </w:r>
            <w:r>
              <w:rPr>
                <w:noProof/>
                <w:webHidden/>
              </w:rPr>
            </w:r>
            <w:r>
              <w:rPr>
                <w:noProof/>
                <w:webHidden/>
              </w:rPr>
              <w:fldChar w:fldCharType="separate"/>
            </w:r>
            <w:r>
              <w:rPr>
                <w:noProof/>
                <w:webHidden/>
              </w:rPr>
              <w:t>4</w:t>
            </w:r>
            <w:r>
              <w:rPr>
                <w:noProof/>
                <w:webHidden/>
              </w:rPr>
              <w:fldChar w:fldCharType="end"/>
            </w:r>
          </w:hyperlink>
        </w:p>
        <w:p w14:paraId="7A2B8E93" w14:textId="6B8FC401" w:rsidR="00A256DA" w:rsidRDefault="00A256DA">
          <w:pPr>
            <w:pStyle w:val="TOC3"/>
            <w:tabs>
              <w:tab w:val="right" w:leader="dot" w:pos="9350"/>
            </w:tabs>
            <w:rPr>
              <w:rFonts w:asciiTheme="minorHAnsi" w:eastAsiaTheme="minorEastAsia" w:hAnsiTheme="minorHAnsi"/>
              <w:noProof/>
              <w:color w:val="auto"/>
            </w:rPr>
          </w:pPr>
          <w:hyperlink w:anchor="_Toc233297975" w:history="1">
            <w:r w:rsidRPr="005D3526">
              <w:rPr>
                <w:rStyle w:val="Hyperlink"/>
                <w:noProof/>
              </w:rPr>
              <w:t>Why?</w:t>
            </w:r>
            <w:r>
              <w:rPr>
                <w:noProof/>
                <w:webHidden/>
              </w:rPr>
              <w:tab/>
            </w:r>
            <w:r>
              <w:rPr>
                <w:noProof/>
                <w:webHidden/>
              </w:rPr>
              <w:fldChar w:fldCharType="begin"/>
            </w:r>
            <w:r>
              <w:rPr>
                <w:noProof/>
                <w:webHidden/>
              </w:rPr>
              <w:instrText xml:space="preserve"> PAGEREF _Toc233297975 \h </w:instrText>
            </w:r>
            <w:r>
              <w:rPr>
                <w:noProof/>
                <w:webHidden/>
              </w:rPr>
            </w:r>
            <w:r>
              <w:rPr>
                <w:noProof/>
                <w:webHidden/>
              </w:rPr>
              <w:fldChar w:fldCharType="separate"/>
            </w:r>
            <w:r>
              <w:rPr>
                <w:noProof/>
                <w:webHidden/>
              </w:rPr>
              <w:t>4</w:t>
            </w:r>
            <w:r>
              <w:rPr>
                <w:noProof/>
                <w:webHidden/>
              </w:rPr>
              <w:fldChar w:fldCharType="end"/>
            </w:r>
          </w:hyperlink>
        </w:p>
        <w:p w14:paraId="7409A3BF" w14:textId="32006E04" w:rsidR="00A256DA" w:rsidRDefault="00A256DA">
          <w:pPr>
            <w:pStyle w:val="TOC3"/>
            <w:tabs>
              <w:tab w:val="right" w:leader="dot" w:pos="9350"/>
            </w:tabs>
            <w:rPr>
              <w:rFonts w:asciiTheme="minorHAnsi" w:eastAsiaTheme="minorEastAsia" w:hAnsiTheme="minorHAnsi"/>
              <w:noProof/>
              <w:color w:val="auto"/>
            </w:rPr>
          </w:pPr>
          <w:hyperlink w:anchor="_Toc233297976" w:history="1">
            <w:r w:rsidRPr="005D3526">
              <w:rPr>
                <w:rStyle w:val="Hyperlink"/>
                <w:noProof/>
              </w:rPr>
              <w:t>Key Resources</w:t>
            </w:r>
            <w:r>
              <w:rPr>
                <w:noProof/>
                <w:webHidden/>
              </w:rPr>
              <w:tab/>
            </w:r>
            <w:r>
              <w:rPr>
                <w:noProof/>
                <w:webHidden/>
              </w:rPr>
              <w:fldChar w:fldCharType="begin"/>
            </w:r>
            <w:r>
              <w:rPr>
                <w:noProof/>
                <w:webHidden/>
              </w:rPr>
              <w:instrText xml:space="preserve"> PAGEREF _Toc233297976 \h </w:instrText>
            </w:r>
            <w:r>
              <w:rPr>
                <w:noProof/>
                <w:webHidden/>
              </w:rPr>
            </w:r>
            <w:r>
              <w:rPr>
                <w:noProof/>
                <w:webHidden/>
              </w:rPr>
              <w:fldChar w:fldCharType="separate"/>
            </w:r>
            <w:r>
              <w:rPr>
                <w:noProof/>
                <w:webHidden/>
              </w:rPr>
              <w:t>5</w:t>
            </w:r>
            <w:r>
              <w:rPr>
                <w:noProof/>
                <w:webHidden/>
              </w:rPr>
              <w:fldChar w:fldCharType="end"/>
            </w:r>
          </w:hyperlink>
        </w:p>
        <w:p w14:paraId="30DBCA74" w14:textId="11E167B5" w:rsidR="00A256DA" w:rsidRDefault="00A256DA">
          <w:pPr>
            <w:pStyle w:val="TOC3"/>
            <w:tabs>
              <w:tab w:val="right" w:leader="dot" w:pos="9350"/>
            </w:tabs>
            <w:rPr>
              <w:rFonts w:asciiTheme="minorHAnsi" w:eastAsiaTheme="minorEastAsia" w:hAnsiTheme="minorHAnsi"/>
              <w:noProof/>
              <w:color w:val="auto"/>
            </w:rPr>
          </w:pPr>
          <w:hyperlink w:anchor="_Toc233297977" w:history="1">
            <w:r w:rsidRPr="005D3526">
              <w:rPr>
                <w:rStyle w:val="Hyperlink"/>
                <w:noProof/>
              </w:rPr>
              <w:t>What is interRAI?</w:t>
            </w:r>
            <w:r>
              <w:rPr>
                <w:noProof/>
                <w:webHidden/>
              </w:rPr>
              <w:tab/>
            </w:r>
            <w:r>
              <w:rPr>
                <w:noProof/>
                <w:webHidden/>
              </w:rPr>
              <w:fldChar w:fldCharType="begin"/>
            </w:r>
            <w:r>
              <w:rPr>
                <w:noProof/>
                <w:webHidden/>
              </w:rPr>
              <w:instrText xml:space="preserve"> PAGEREF _Toc233297977 \h </w:instrText>
            </w:r>
            <w:r>
              <w:rPr>
                <w:noProof/>
                <w:webHidden/>
              </w:rPr>
            </w:r>
            <w:r>
              <w:rPr>
                <w:noProof/>
                <w:webHidden/>
              </w:rPr>
              <w:fldChar w:fldCharType="separate"/>
            </w:r>
            <w:r>
              <w:rPr>
                <w:noProof/>
                <w:webHidden/>
              </w:rPr>
              <w:t>5</w:t>
            </w:r>
            <w:r>
              <w:rPr>
                <w:noProof/>
                <w:webHidden/>
              </w:rPr>
              <w:fldChar w:fldCharType="end"/>
            </w:r>
          </w:hyperlink>
        </w:p>
        <w:p w14:paraId="7AF2858D" w14:textId="3053F30B" w:rsidR="00A256DA" w:rsidRDefault="00A256DA">
          <w:pPr>
            <w:pStyle w:val="TOC3"/>
            <w:tabs>
              <w:tab w:val="right" w:leader="dot" w:pos="9350"/>
            </w:tabs>
            <w:rPr>
              <w:rFonts w:asciiTheme="minorHAnsi" w:eastAsiaTheme="minorEastAsia" w:hAnsiTheme="minorHAnsi"/>
              <w:noProof/>
              <w:color w:val="auto"/>
            </w:rPr>
          </w:pPr>
          <w:hyperlink w:anchor="_Toc233297978" w:history="1">
            <w:r w:rsidRPr="005D3526">
              <w:rPr>
                <w:rStyle w:val="Hyperlink"/>
                <w:noProof/>
              </w:rPr>
              <w:t>FED &amp; interRAI Roles</w:t>
            </w:r>
            <w:r>
              <w:rPr>
                <w:noProof/>
                <w:webHidden/>
              </w:rPr>
              <w:tab/>
            </w:r>
            <w:r>
              <w:rPr>
                <w:noProof/>
                <w:webHidden/>
              </w:rPr>
              <w:fldChar w:fldCharType="begin"/>
            </w:r>
            <w:r>
              <w:rPr>
                <w:noProof/>
                <w:webHidden/>
              </w:rPr>
              <w:instrText xml:space="preserve"> PAGEREF _Toc233297978 \h </w:instrText>
            </w:r>
            <w:r>
              <w:rPr>
                <w:noProof/>
                <w:webHidden/>
              </w:rPr>
            </w:r>
            <w:r>
              <w:rPr>
                <w:noProof/>
                <w:webHidden/>
              </w:rPr>
              <w:fldChar w:fldCharType="separate"/>
            </w:r>
            <w:r>
              <w:rPr>
                <w:noProof/>
                <w:webHidden/>
              </w:rPr>
              <w:t>5</w:t>
            </w:r>
            <w:r>
              <w:rPr>
                <w:noProof/>
                <w:webHidden/>
              </w:rPr>
              <w:fldChar w:fldCharType="end"/>
            </w:r>
          </w:hyperlink>
        </w:p>
        <w:p w14:paraId="44FA6204" w14:textId="4DC186C1" w:rsidR="00A256DA" w:rsidRDefault="00A256DA">
          <w:pPr>
            <w:pStyle w:val="TOC3"/>
            <w:tabs>
              <w:tab w:val="right" w:leader="dot" w:pos="9350"/>
            </w:tabs>
            <w:rPr>
              <w:rFonts w:asciiTheme="minorHAnsi" w:eastAsiaTheme="minorEastAsia" w:hAnsiTheme="minorHAnsi"/>
              <w:noProof/>
              <w:color w:val="auto"/>
            </w:rPr>
          </w:pPr>
          <w:hyperlink w:anchor="_Toc233297979" w:history="1">
            <w:r w:rsidRPr="005D3526">
              <w:rPr>
                <w:rStyle w:val="Hyperlink"/>
                <w:noProof/>
              </w:rPr>
              <w:t>How Does This Affect the Participant?</w:t>
            </w:r>
            <w:r>
              <w:rPr>
                <w:noProof/>
                <w:webHidden/>
              </w:rPr>
              <w:tab/>
            </w:r>
            <w:r>
              <w:rPr>
                <w:noProof/>
                <w:webHidden/>
              </w:rPr>
              <w:fldChar w:fldCharType="begin"/>
            </w:r>
            <w:r>
              <w:rPr>
                <w:noProof/>
                <w:webHidden/>
              </w:rPr>
              <w:instrText xml:space="preserve"> PAGEREF _Toc233297979 \h </w:instrText>
            </w:r>
            <w:r>
              <w:rPr>
                <w:noProof/>
                <w:webHidden/>
              </w:rPr>
            </w:r>
            <w:r>
              <w:rPr>
                <w:noProof/>
                <w:webHidden/>
              </w:rPr>
              <w:fldChar w:fldCharType="separate"/>
            </w:r>
            <w:r>
              <w:rPr>
                <w:noProof/>
                <w:webHidden/>
              </w:rPr>
              <w:t>6</w:t>
            </w:r>
            <w:r>
              <w:rPr>
                <w:noProof/>
                <w:webHidden/>
              </w:rPr>
              <w:fldChar w:fldCharType="end"/>
            </w:r>
          </w:hyperlink>
        </w:p>
        <w:p w14:paraId="548F0D97" w14:textId="11D59C54" w:rsidR="00A256DA" w:rsidRDefault="00A256DA">
          <w:pPr>
            <w:pStyle w:val="TOC3"/>
            <w:tabs>
              <w:tab w:val="right" w:leader="dot" w:pos="9350"/>
            </w:tabs>
            <w:rPr>
              <w:rFonts w:asciiTheme="minorHAnsi" w:eastAsiaTheme="minorEastAsia" w:hAnsiTheme="minorHAnsi"/>
              <w:noProof/>
              <w:color w:val="auto"/>
            </w:rPr>
          </w:pPr>
          <w:hyperlink w:anchor="_Toc233297980" w:history="1">
            <w:r w:rsidRPr="005D3526">
              <w:rPr>
                <w:rStyle w:val="Hyperlink"/>
                <w:noProof/>
              </w:rPr>
              <w:t>FED – NFCE Definition</w:t>
            </w:r>
            <w:r>
              <w:rPr>
                <w:noProof/>
                <w:webHidden/>
              </w:rPr>
              <w:tab/>
            </w:r>
            <w:r>
              <w:rPr>
                <w:noProof/>
                <w:webHidden/>
              </w:rPr>
              <w:fldChar w:fldCharType="begin"/>
            </w:r>
            <w:r>
              <w:rPr>
                <w:noProof/>
                <w:webHidden/>
              </w:rPr>
              <w:instrText xml:space="preserve"> PAGEREF _Toc233297980 \h </w:instrText>
            </w:r>
            <w:r>
              <w:rPr>
                <w:noProof/>
                <w:webHidden/>
              </w:rPr>
            </w:r>
            <w:r>
              <w:rPr>
                <w:noProof/>
                <w:webHidden/>
              </w:rPr>
              <w:fldChar w:fldCharType="separate"/>
            </w:r>
            <w:r>
              <w:rPr>
                <w:noProof/>
                <w:webHidden/>
              </w:rPr>
              <w:t>6</w:t>
            </w:r>
            <w:r>
              <w:rPr>
                <w:noProof/>
                <w:webHidden/>
              </w:rPr>
              <w:fldChar w:fldCharType="end"/>
            </w:r>
          </w:hyperlink>
        </w:p>
        <w:p w14:paraId="0F094767" w14:textId="4BD7118F" w:rsidR="00A256DA" w:rsidRDefault="00A256DA">
          <w:pPr>
            <w:pStyle w:val="TOC3"/>
            <w:tabs>
              <w:tab w:val="right" w:leader="dot" w:pos="9350"/>
            </w:tabs>
            <w:rPr>
              <w:rFonts w:asciiTheme="minorHAnsi" w:eastAsiaTheme="minorEastAsia" w:hAnsiTheme="minorHAnsi"/>
              <w:noProof/>
              <w:color w:val="auto"/>
            </w:rPr>
          </w:pPr>
          <w:hyperlink w:anchor="_Toc233297981" w:history="1">
            <w:r w:rsidRPr="005D3526">
              <w:rPr>
                <w:rStyle w:val="Hyperlink"/>
                <w:noProof/>
              </w:rPr>
              <w:t>Initial Eligibility Process</w:t>
            </w:r>
            <w:r>
              <w:rPr>
                <w:noProof/>
                <w:webHidden/>
              </w:rPr>
              <w:tab/>
            </w:r>
            <w:r>
              <w:rPr>
                <w:noProof/>
                <w:webHidden/>
              </w:rPr>
              <w:fldChar w:fldCharType="begin"/>
            </w:r>
            <w:r>
              <w:rPr>
                <w:noProof/>
                <w:webHidden/>
              </w:rPr>
              <w:instrText xml:space="preserve"> PAGEREF _Toc233297981 \h </w:instrText>
            </w:r>
            <w:r>
              <w:rPr>
                <w:noProof/>
                <w:webHidden/>
              </w:rPr>
            </w:r>
            <w:r>
              <w:rPr>
                <w:noProof/>
                <w:webHidden/>
              </w:rPr>
              <w:fldChar w:fldCharType="separate"/>
            </w:r>
            <w:r>
              <w:rPr>
                <w:noProof/>
                <w:webHidden/>
              </w:rPr>
              <w:t>6</w:t>
            </w:r>
            <w:r>
              <w:rPr>
                <w:noProof/>
                <w:webHidden/>
              </w:rPr>
              <w:fldChar w:fldCharType="end"/>
            </w:r>
          </w:hyperlink>
        </w:p>
        <w:p w14:paraId="72050352" w14:textId="104D12A7" w:rsidR="00A256DA" w:rsidRDefault="00A256DA">
          <w:pPr>
            <w:pStyle w:val="TOC3"/>
            <w:tabs>
              <w:tab w:val="right" w:leader="dot" w:pos="9350"/>
            </w:tabs>
            <w:rPr>
              <w:rFonts w:asciiTheme="minorHAnsi" w:eastAsiaTheme="minorEastAsia" w:hAnsiTheme="minorHAnsi"/>
              <w:noProof/>
              <w:color w:val="auto"/>
            </w:rPr>
          </w:pPr>
          <w:hyperlink w:anchor="_Toc233297982" w:history="1">
            <w:r w:rsidRPr="005D3526">
              <w:rPr>
                <w:rStyle w:val="Hyperlink"/>
                <w:noProof/>
              </w:rPr>
              <w:t>Consistency</w:t>
            </w:r>
            <w:r>
              <w:rPr>
                <w:noProof/>
                <w:webHidden/>
              </w:rPr>
              <w:tab/>
            </w:r>
            <w:r>
              <w:rPr>
                <w:noProof/>
                <w:webHidden/>
              </w:rPr>
              <w:fldChar w:fldCharType="begin"/>
            </w:r>
            <w:r>
              <w:rPr>
                <w:noProof/>
                <w:webHidden/>
              </w:rPr>
              <w:instrText xml:space="preserve"> PAGEREF _Toc233297982 \h </w:instrText>
            </w:r>
            <w:r>
              <w:rPr>
                <w:noProof/>
                <w:webHidden/>
              </w:rPr>
            </w:r>
            <w:r>
              <w:rPr>
                <w:noProof/>
                <w:webHidden/>
              </w:rPr>
              <w:fldChar w:fldCharType="separate"/>
            </w:r>
            <w:r>
              <w:rPr>
                <w:noProof/>
                <w:webHidden/>
              </w:rPr>
              <w:t>7</w:t>
            </w:r>
            <w:r>
              <w:rPr>
                <w:noProof/>
                <w:webHidden/>
              </w:rPr>
              <w:fldChar w:fldCharType="end"/>
            </w:r>
          </w:hyperlink>
        </w:p>
        <w:p w14:paraId="455D56E0" w14:textId="3238B0BA" w:rsidR="00A256DA" w:rsidRDefault="00A256DA">
          <w:pPr>
            <w:pStyle w:val="TOC3"/>
            <w:tabs>
              <w:tab w:val="right" w:leader="dot" w:pos="9350"/>
            </w:tabs>
            <w:rPr>
              <w:rFonts w:asciiTheme="minorHAnsi" w:eastAsiaTheme="minorEastAsia" w:hAnsiTheme="minorHAnsi"/>
              <w:noProof/>
              <w:color w:val="auto"/>
            </w:rPr>
          </w:pPr>
          <w:hyperlink w:anchor="_Toc233297983" w:history="1">
            <w:r w:rsidRPr="005D3526">
              <w:rPr>
                <w:rStyle w:val="Hyperlink"/>
                <w:noProof/>
              </w:rPr>
              <w:t>Reassessment Process</w:t>
            </w:r>
            <w:r>
              <w:rPr>
                <w:noProof/>
                <w:webHidden/>
              </w:rPr>
              <w:tab/>
            </w:r>
            <w:r>
              <w:rPr>
                <w:noProof/>
                <w:webHidden/>
              </w:rPr>
              <w:fldChar w:fldCharType="begin"/>
            </w:r>
            <w:r>
              <w:rPr>
                <w:noProof/>
                <w:webHidden/>
              </w:rPr>
              <w:instrText xml:space="preserve"> PAGEREF _Toc233297983 \h </w:instrText>
            </w:r>
            <w:r>
              <w:rPr>
                <w:noProof/>
                <w:webHidden/>
              </w:rPr>
            </w:r>
            <w:r>
              <w:rPr>
                <w:noProof/>
                <w:webHidden/>
              </w:rPr>
              <w:fldChar w:fldCharType="separate"/>
            </w:r>
            <w:r>
              <w:rPr>
                <w:noProof/>
                <w:webHidden/>
              </w:rPr>
              <w:t>7</w:t>
            </w:r>
            <w:r>
              <w:rPr>
                <w:noProof/>
                <w:webHidden/>
              </w:rPr>
              <w:fldChar w:fldCharType="end"/>
            </w:r>
          </w:hyperlink>
        </w:p>
        <w:p w14:paraId="28DAB368" w14:textId="1AE748CE" w:rsidR="00A256DA" w:rsidRDefault="00A256DA">
          <w:pPr>
            <w:pStyle w:val="TOC2"/>
            <w:tabs>
              <w:tab w:val="right" w:leader="dot" w:pos="9350"/>
            </w:tabs>
            <w:rPr>
              <w:rFonts w:asciiTheme="minorHAnsi" w:eastAsiaTheme="minorEastAsia" w:hAnsiTheme="minorHAnsi"/>
              <w:noProof/>
              <w:color w:val="auto"/>
            </w:rPr>
          </w:pPr>
          <w:hyperlink w:anchor="_Toc233297984" w:history="1">
            <w:r w:rsidRPr="005D3526">
              <w:rPr>
                <w:rStyle w:val="Hyperlink"/>
                <w:noProof/>
              </w:rPr>
              <w:t>FED &amp; interRAI Comprehensive Needs Assessment Overview</w:t>
            </w:r>
            <w:r>
              <w:rPr>
                <w:noProof/>
                <w:webHidden/>
              </w:rPr>
              <w:tab/>
            </w:r>
            <w:r>
              <w:rPr>
                <w:noProof/>
                <w:webHidden/>
              </w:rPr>
              <w:fldChar w:fldCharType="begin"/>
            </w:r>
            <w:r>
              <w:rPr>
                <w:noProof/>
                <w:webHidden/>
              </w:rPr>
              <w:instrText xml:space="preserve"> PAGEREF _Toc233297984 \h </w:instrText>
            </w:r>
            <w:r>
              <w:rPr>
                <w:noProof/>
                <w:webHidden/>
              </w:rPr>
            </w:r>
            <w:r>
              <w:rPr>
                <w:noProof/>
                <w:webHidden/>
              </w:rPr>
              <w:fldChar w:fldCharType="separate"/>
            </w:r>
            <w:r>
              <w:rPr>
                <w:noProof/>
                <w:webHidden/>
              </w:rPr>
              <w:t>8</w:t>
            </w:r>
            <w:r>
              <w:rPr>
                <w:noProof/>
                <w:webHidden/>
              </w:rPr>
              <w:fldChar w:fldCharType="end"/>
            </w:r>
          </w:hyperlink>
        </w:p>
        <w:p w14:paraId="69216310" w14:textId="0AC8502F" w:rsidR="00A256DA" w:rsidRDefault="00A256DA">
          <w:pPr>
            <w:pStyle w:val="TOC3"/>
            <w:tabs>
              <w:tab w:val="right" w:leader="dot" w:pos="9350"/>
            </w:tabs>
            <w:rPr>
              <w:rFonts w:asciiTheme="minorHAnsi" w:eastAsiaTheme="minorEastAsia" w:hAnsiTheme="minorHAnsi"/>
              <w:noProof/>
              <w:color w:val="auto"/>
            </w:rPr>
          </w:pPr>
          <w:hyperlink w:anchor="_Toc233297985" w:history="1">
            <w:r w:rsidRPr="005D3526">
              <w:rPr>
                <w:rStyle w:val="Hyperlink"/>
                <w:noProof/>
              </w:rPr>
              <w:t>FED and interRAI Overview</w:t>
            </w:r>
            <w:r>
              <w:rPr>
                <w:noProof/>
                <w:webHidden/>
              </w:rPr>
              <w:tab/>
            </w:r>
            <w:r>
              <w:rPr>
                <w:noProof/>
                <w:webHidden/>
              </w:rPr>
              <w:fldChar w:fldCharType="begin"/>
            </w:r>
            <w:r>
              <w:rPr>
                <w:noProof/>
                <w:webHidden/>
              </w:rPr>
              <w:instrText xml:space="preserve"> PAGEREF _Toc233297985 \h </w:instrText>
            </w:r>
            <w:r>
              <w:rPr>
                <w:noProof/>
                <w:webHidden/>
              </w:rPr>
            </w:r>
            <w:r>
              <w:rPr>
                <w:noProof/>
                <w:webHidden/>
              </w:rPr>
              <w:fldChar w:fldCharType="separate"/>
            </w:r>
            <w:r>
              <w:rPr>
                <w:noProof/>
                <w:webHidden/>
              </w:rPr>
              <w:t>8</w:t>
            </w:r>
            <w:r>
              <w:rPr>
                <w:noProof/>
                <w:webHidden/>
              </w:rPr>
              <w:fldChar w:fldCharType="end"/>
            </w:r>
          </w:hyperlink>
        </w:p>
        <w:p w14:paraId="40E24530" w14:textId="6B37791D" w:rsidR="00A256DA" w:rsidRDefault="00A256DA">
          <w:pPr>
            <w:pStyle w:val="TOC3"/>
            <w:tabs>
              <w:tab w:val="right" w:leader="dot" w:pos="9350"/>
            </w:tabs>
            <w:rPr>
              <w:rFonts w:asciiTheme="minorHAnsi" w:eastAsiaTheme="minorEastAsia" w:hAnsiTheme="minorHAnsi"/>
              <w:noProof/>
              <w:color w:val="auto"/>
            </w:rPr>
          </w:pPr>
          <w:hyperlink w:anchor="_Toc233297986" w:history="1">
            <w:r w:rsidRPr="005D3526">
              <w:rPr>
                <w:rStyle w:val="Hyperlink"/>
                <w:noProof/>
              </w:rPr>
              <w:t>interRAI Instrument</w:t>
            </w:r>
            <w:r>
              <w:rPr>
                <w:noProof/>
                <w:webHidden/>
              </w:rPr>
              <w:tab/>
            </w:r>
            <w:r>
              <w:rPr>
                <w:noProof/>
                <w:webHidden/>
              </w:rPr>
              <w:fldChar w:fldCharType="begin"/>
            </w:r>
            <w:r>
              <w:rPr>
                <w:noProof/>
                <w:webHidden/>
              </w:rPr>
              <w:instrText xml:space="preserve"> PAGEREF _Toc233297986 \h </w:instrText>
            </w:r>
            <w:r>
              <w:rPr>
                <w:noProof/>
                <w:webHidden/>
              </w:rPr>
            </w:r>
            <w:r>
              <w:rPr>
                <w:noProof/>
                <w:webHidden/>
              </w:rPr>
              <w:fldChar w:fldCharType="separate"/>
            </w:r>
            <w:r>
              <w:rPr>
                <w:noProof/>
                <w:webHidden/>
              </w:rPr>
              <w:t>8</w:t>
            </w:r>
            <w:r>
              <w:rPr>
                <w:noProof/>
                <w:webHidden/>
              </w:rPr>
              <w:fldChar w:fldCharType="end"/>
            </w:r>
          </w:hyperlink>
        </w:p>
        <w:p w14:paraId="43851D40" w14:textId="6CBCA52A" w:rsidR="00A256DA" w:rsidRDefault="00A256DA">
          <w:pPr>
            <w:pStyle w:val="TOC3"/>
            <w:tabs>
              <w:tab w:val="right" w:leader="dot" w:pos="9350"/>
            </w:tabs>
            <w:rPr>
              <w:rFonts w:asciiTheme="minorHAnsi" w:eastAsiaTheme="minorEastAsia" w:hAnsiTheme="minorHAnsi"/>
              <w:noProof/>
              <w:color w:val="auto"/>
            </w:rPr>
          </w:pPr>
          <w:hyperlink w:anchor="_Toc233297987" w:history="1">
            <w:r w:rsidRPr="005D3526">
              <w:rPr>
                <w:rStyle w:val="Hyperlink"/>
                <w:noProof/>
              </w:rPr>
              <w:t>The interRAI Home Care Assessment System</w:t>
            </w:r>
            <w:r>
              <w:rPr>
                <w:noProof/>
                <w:webHidden/>
              </w:rPr>
              <w:tab/>
            </w:r>
            <w:r>
              <w:rPr>
                <w:noProof/>
                <w:webHidden/>
              </w:rPr>
              <w:fldChar w:fldCharType="begin"/>
            </w:r>
            <w:r>
              <w:rPr>
                <w:noProof/>
                <w:webHidden/>
              </w:rPr>
              <w:instrText xml:space="preserve"> PAGEREF _Toc233297987 \h </w:instrText>
            </w:r>
            <w:r>
              <w:rPr>
                <w:noProof/>
                <w:webHidden/>
              </w:rPr>
            </w:r>
            <w:r>
              <w:rPr>
                <w:noProof/>
                <w:webHidden/>
              </w:rPr>
              <w:fldChar w:fldCharType="separate"/>
            </w:r>
            <w:r>
              <w:rPr>
                <w:noProof/>
                <w:webHidden/>
              </w:rPr>
              <w:t>8</w:t>
            </w:r>
            <w:r>
              <w:rPr>
                <w:noProof/>
                <w:webHidden/>
              </w:rPr>
              <w:fldChar w:fldCharType="end"/>
            </w:r>
          </w:hyperlink>
        </w:p>
        <w:p w14:paraId="64BFFFC8" w14:textId="0CFB062B" w:rsidR="00A256DA" w:rsidRDefault="00A256DA">
          <w:pPr>
            <w:pStyle w:val="TOC3"/>
            <w:tabs>
              <w:tab w:val="right" w:leader="dot" w:pos="9350"/>
            </w:tabs>
            <w:rPr>
              <w:rFonts w:asciiTheme="minorHAnsi" w:eastAsiaTheme="minorEastAsia" w:hAnsiTheme="minorHAnsi"/>
              <w:noProof/>
              <w:color w:val="auto"/>
            </w:rPr>
          </w:pPr>
          <w:hyperlink w:anchor="_Toc233297988" w:history="1">
            <w:r w:rsidRPr="005D3526">
              <w:rPr>
                <w:rStyle w:val="Hyperlink"/>
                <w:noProof/>
              </w:rPr>
              <w:t>Using the interRAI Assessment System</w:t>
            </w:r>
            <w:r>
              <w:rPr>
                <w:noProof/>
                <w:webHidden/>
              </w:rPr>
              <w:tab/>
            </w:r>
            <w:r>
              <w:rPr>
                <w:noProof/>
                <w:webHidden/>
              </w:rPr>
              <w:fldChar w:fldCharType="begin"/>
            </w:r>
            <w:r>
              <w:rPr>
                <w:noProof/>
                <w:webHidden/>
              </w:rPr>
              <w:instrText xml:space="preserve"> PAGEREF _Toc233297988 \h </w:instrText>
            </w:r>
            <w:r>
              <w:rPr>
                <w:noProof/>
                <w:webHidden/>
              </w:rPr>
            </w:r>
            <w:r>
              <w:rPr>
                <w:noProof/>
                <w:webHidden/>
              </w:rPr>
              <w:fldChar w:fldCharType="separate"/>
            </w:r>
            <w:r>
              <w:rPr>
                <w:noProof/>
                <w:webHidden/>
              </w:rPr>
              <w:t>9</w:t>
            </w:r>
            <w:r>
              <w:rPr>
                <w:noProof/>
                <w:webHidden/>
              </w:rPr>
              <w:fldChar w:fldCharType="end"/>
            </w:r>
          </w:hyperlink>
        </w:p>
        <w:p w14:paraId="34C48C33" w14:textId="49FCB5BE" w:rsidR="00A256DA" w:rsidRDefault="00A256DA">
          <w:pPr>
            <w:pStyle w:val="TOC3"/>
            <w:tabs>
              <w:tab w:val="right" w:leader="dot" w:pos="9350"/>
            </w:tabs>
            <w:rPr>
              <w:rFonts w:asciiTheme="minorHAnsi" w:eastAsiaTheme="minorEastAsia" w:hAnsiTheme="minorHAnsi"/>
              <w:noProof/>
              <w:color w:val="auto"/>
            </w:rPr>
          </w:pPr>
          <w:hyperlink w:anchor="_Toc233297989" w:history="1">
            <w:r w:rsidRPr="005D3526">
              <w:rPr>
                <w:rStyle w:val="Hyperlink"/>
                <w:noProof/>
              </w:rPr>
              <w:t>Key Points for Completing the interRAI</w:t>
            </w:r>
            <w:r>
              <w:rPr>
                <w:noProof/>
                <w:webHidden/>
              </w:rPr>
              <w:tab/>
            </w:r>
            <w:r>
              <w:rPr>
                <w:noProof/>
                <w:webHidden/>
              </w:rPr>
              <w:fldChar w:fldCharType="begin"/>
            </w:r>
            <w:r>
              <w:rPr>
                <w:noProof/>
                <w:webHidden/>
              </w:rPr>
              <w:instrText xml:space="preserve"> PAGEREF _Toc233297989 \h </w:instrText>
            </w:r>
            <w:r>
              <w:rPr>
                <w:noProof/>
                <w:webHidden/>
              </w:rPr>
            </w:r>
            <w:r>
              <w:rPr>
                <w:noProof/>
                <w:webHidden/>
              </w:rPr>
              <w:fldChar w:fldCharType="separate"/>
            </w:r>
            <w:r>
              <w:rPr>
                <w:noProof/>
                <w:webHidden/>
              </w:rPr>
              <w:t>9</w:t>
            </w:r>
            <w:r>
              <w:rPr>
                <w:noProof/>
                <w:webHidden/>
              </w:rPr>
              <w:fldChar w:fldCharType="end"/>
            </w:r>
          </w:hyperlink>
        </w:p>
        <w:p w14:paraId="7343539F" w14:textId="4DE3C86A" w:rsidR="00A256DA" w:rsidRDefault="00A256DA">
          <w:pPr>
            <w:pStyle w:val="TOC2"/>
            <w:tabs>
              <w:tab w:val="right" w:leader="dot" w:pos="9350"/>
            </w:tabs>
            <w:rPr>
              <w:rFonts w:asciiTheme="minorHAnsi" w:eastAsiaTheme="minorEastAsia" w:hAnsiTheme="minorHAnsi"/>
              <w:noProof/>
              <w:color w:val="auto"/>
            </w:rPr>
          </w:pPr>
          <w:hyperlink w:anchor="_Toc233297990" w:history="1">
            <w:r w:rsidRPr="005D3526">
              <w:rPr>
                <w:rStyle w:val="Hyperlink"/>
                <w:noProof/>
              </w:rPr>
              <w:t>Assessment Approaches and Best Practices</w:t>
            </w:r>
            <w:r>
              <w:rPr>
                <w:noProof/>
                <w:webHidden/>
              </w:rPr>
              <w:tab/>
            </w:r>
            <w:r>
              <w:rPr>
                <w:noProof/>
                <w:webHidden/>
              </w:rPr>
              <w:fldChar w:fldCharType="begin"/>
            </w:r>
            <w:r>
              <w:rPr>
                <w:noProof/>
                <w:webHidden/>
              </w:rPr>
              <w:instrText xml:space="preserve"> PAGEREF _Toc233297990 \h </w:instrText>
            </w:r>
            <w:r>
              <w:rPr>
                <w:noProof/>
                <w:webHidden/>
              </w:rPr>
            </w:r>
            <w:r>
              <w:rPr>
                <w:noProof/>
                <w:webHidden/>
              </w:rPr>
              <w:fldChar w:fldCharType="separate"/>
            </w:r>
            <w:r>
              <w:rPr>
                <w:noProof/>
                <w:webHidden/>
              </w:rPr>
              <w:t>10</w:t>
            </w:r>
            <w:r>
              <w:rPr>
                <w:noProof/>
                <w:webHidden/>
              </w:rPr>
              <w:fldChar w:fldCharType="end"/>
            </w:r>
          </w:hyperlink>
        </w:p>
        <w:p w14:paraId="78EBE575" w14:textId="45C6DB6A" w:rsidR="00A256DA" w:rsidRDefault="00A256DA">
          <w:pPr>
            <w:pStyle w:val="TOC3"/>
            <w:tabs>
              <w:tab w:val="right" w:leader="dot" w:pos="9350"/>
            </w:tabs>
            <w:rPr>
              <w:rFonts w:asciiTheme="minorHAnsi" w:eastAsiaTheme="minorEastAsia" w:hAnsiTheme="minorHAnsi"/>
              <w:noProof/>
              <w:color w:val="auto"/>
            </w:rPr>
          </w:pPr>
          <w:hyperlink w:anchor="_Toc233297991" w:history="1">
            <w:r w:rsidRPr="005D3526">
              <w:rPr>
                <w:rStyle w:val="Hyperlink"/>
                <w:noProof/>
              </w:rPr>
              <w:t>Build Rapport With the Person</w:t>
            </w:r>
            <w:r>
              <w:rPr>
                <w:noProof/>
                <w:webHidden/>
              </w:rPr>
              <w:tab/>
            </w:r>
            <w:r>
              <w:rPr>
                <w:noProof/>
                <w:webHidden/>
              </w:rPr>
              <w:fldChar w:fldCharType="begin"/>
            </w:r>
            <w:r>
              <w:rPr>
                <w:noProof/>
                <w:webHidden/>
              </w:rPr>
              <w:instrText xml:space="preserve"> PAGEREF _Toc233297991 \h </w:instrText>
            </w:r>
            <w:r>
              <w:rPr>
                <w:noProof/>
                <w:webHidden/>
              </w:rPr>
            </w:r>
            <w:r>
              <w:rPr>
                <w:noProof/>
                <w:webHidden/>
              </w:rPr>
              <w:fldChar w:fldCharType="separate"/>
            </w:r>
            <w:r>
              <w:rPr>
                <w:noProof/>
                <w:webHidden/>
              </w:rPr>
              <w:t>10</w:t>
            </w:r>
            <w:r>
              <w:rPr>
                <w:noProof/>
                <w:webHidden/>
              </w:rPr>
              <w:fldChar w:fldCharType="end"/>
            </w:r>
          </w:hyperlink>
        </w:p>
        <w:p w14:paraId="0CCEAC86" w14:textId="35CAAC70" w:rsidR="00A256DA" w:rsidRDefault="00A256DA">
          <w:pPr>
            <w:pStyle w:val="TOC3"/>
            <w:tabs>
              <w:tab w:val="right" w:leader="dot" w:pos="9350"/>
            </w:tabs>
            <w:rPr>
              <w:rFonts w:asciiTheme="minorHAnsi" w:eastAsiaTheme="minorEastAsia" w:hAnsiTheme="minorHAnsi"/>
              <w:noProof/>
              <w:color w:val="auto"/>
            </w:rPr>
          </w:pPr>
          <w:hyperlink w:anchor="_Toc233297992" w:history="1">
            <w:r w:rsidRPr="005D3526">
              <w:rPr>
                <w:rStyle w:val="Hyperlink"/>
                <w:noProof/>
              </w:rPr>
              <w:t>Person’s Expected Goals of Care</w:t>
            </w:r>
            <w:r>
              <w:rPr>
                <w:noProof/>
                <w:webHidden/>
              </w:rPr>
              <w:tab/>
            </w:r>
            <w:r>
              <w:rPr>
                <w:noProof/>
                <w:webHidden/>
              </w:rPr>
              <w:fldChar w:fldCharType="begin"/>
            </w:r>
            <w:r>
              <w:rPr>
                <w:noProof/>
                <w:webHidden/>
              </w:rPr>
              <w:instrText xml:space="preserve"> PAGEREF _Toc233297992 \h </w:instrText>
            </w:r>
            <w:r>
              <w:rPr>
                <w:noProof/>
                <w:webHidden/>
              </w:rPr>
            </w:r>
            <w:r>
              <w:rPr>
                <w:noProof/>
                <w:webHidden/>
              </w:rPr>
              <w:fldChar w:fldCharType="separate"/>
            </w:r>
            <w:r>
              <w:rPr>
                <w:noProof/>
                <w:webHidden/>
              </w:rPr>
              <w:t>11</w:t>
            </w:r>
            <w:r>
              <w:rPr>
                <w:noProof/>
                <w:webHidden/>
              </w:rPr>
              <w:fldChar w:fldCharType="end"/>
            </w:r>
          </w:hyperlink>
        </w:p>
        <w:p w14:paraId="6FBD3D42" w14:textId="092E13D3" w:rsidR="00A256DA" w:rsidRDefault="00A256DA">
          <w:pPr>
            <w:pStyle w:val="TOC3"/>
            <w:tabs>
              <w:tab w:val="right" w:leader="dot" w:pos="9350"/>
            </w:tabs>
            <w:rPr>
              <w:rFonts w:asciiTheme="minorHAnsi" w:eastAsiaTheme="minorEastAsia" w:hAnsiTheme="minorHAnsi"/>
              <w:noProof/>
              <w:color w:val="auto"/>
            </w:rPr>
          </w:pPr>
          <w:hyperlink w:anchor="_Toc233297993" w:history="1">
            <w:r w:rsidRPr="005D3526">
              <w:rPr>
                <w:rStyle w:val="Hyperlink"/>
                <w:noProof/>
              </w:rPr>
              <w:t>Person’s Expected Goals of Care - Reassessments</w:t>
            </w:r>
            <w:r>
              <w:rPr>
                <w:noProof/>
                <w:webHidden/>
              </w:rPr>
              <w:tab/>
            </w:r>
            <w:r>
              <w:rPr>
                <w:noProof/>
                <w:webHidden/>
              </w:rPr>
              <w:fldChar w:fldCharType="begin"/>
            </w:r>
            <w:r>
              <w:rPr>
                <w:noProof/>
                <w:webHidden/>
              </w:rPr>
              <w:instrText xml:space="preserve"> PAGEREF _Toc233297993 \h </w:instrText>
            </w:r>
            <w:r>
              <w:rPr>
                <w:noProof/>
                <w:webHidden/>
              </w:rPr>
            </w:r>
            <w:r>
              <w:rPr>
                <w:noProof/>
                <w:webHidden/>
              </w:rPr>
              <w:fldChar w:fldCharType="separate"/>
            </w:r>
            <w:r>
              <w:rPr>
                <w:noProof/>
                <w:webHidden/>
              </w:rPr>
              <w:t>11</w:t>
            </w:r>
            <w:r>
              <w:rPr>
                <w:noProof/>
                <w:webHidden/>
              </w:rPr>
              <w:fldChar w:fldCharType="end"/>
            </w:r>
          </w:hyperlink>
        </w:p>
        <w:p w14:paraId="49E4101A" w14:textId="775A1853" w:rsidR="00A256DA" w:rsidRDefault="00A256DA">
          <w:pPr>
            <w:pStyle w:val="TOC3"/>
            <w:tabs>
              <w:tab w:val="right" w:leader="dot" w:pos="9350"/>
            </w:tabs>
            <w:rPr>
              <w:rFonts w:asciiTheme="minorHAnsi" w:eastAsiaTheme="minorEastAsia" w:hAnsiTheme="minorHAnsi"/>
              <w:noProof/>
              <w:color w:val="auto"/>
            </w:rPr>
          </w:pPr>
          <w:hyperlink w:anchor="_Toc233297994" w:history="1">
            <w:r w:rsidRPr="005D3526">
              <w:rPr>
                <w:rStyle w:val="Hyperlink"/>
                <w:noProof/>
              </w:rPr>
              <w:t>When People Cannot Provide Information</w:t>
            </w:r>
            <w:r>
              <w:rPr>
                <w:noProof/>
                <w:webHidden/>
              </w:rPr>
              <w:tab/>
            </w:r>
            <w:r>
              <w:rPr>
                <w:noProof/>
                <w:webHidden/>
              </w:rPr>
              <w:fldChar w:fldCharType="begin"/>
            </w:r>
            <w:r>
              <w:rPr>
                <w:noProof/>
                <w:webHidden/>
              </w:rPr>
              <w:instrText xml:space="preserve"> PAGEREF _Toc233297994 \h </w:instrText>
            </w:r>
            <w:r>
              <w:rPr>
                <w:noProof/>
                <w:webHidden/>
              </w:rPr>
            </w:r>
            <w:r>
              <w:rPr>
                <w:noProof/>
                <w:webHidden/>
              </w:rPr>
              <w:fldChar w:fldCharType="separate"/>
            </w:r>
            <w:r>
              <w:rPr>
                <w:noProof/>
                <w:webHidden/>
              </w:rPr>
              <w:t>12</w:t>
            </w:r>
            <w:r>
              <w:rPr>
                <w:noProof/>
                <w:webHidden/>
              </w:rPr>
              <w:fldChar w:fldCharType="end"/>
            </w:r>
          </w:hyperlink>
        </w:p>
        <w:p w14:paraId="4D4A8A7D" w14:textId="5C307403" w:rsidR="00A256DA" w:rsidRDefault="00A256DA">
          <w:pPr>
            <w:pStyle w:val="TOC3"/>
            <w:tabs>
              <w:tab w:val="right" w:leader="dot" w:pos="9350"/>
            </w:tabs>
            <w:rPr>
              <w:rFonts w:asciiTheme="minorHAnsi" w:eastAsiaTheme="minorEastAsia" w:hAnsiTheme="minorHAnsi"/>
              <w:noProof/>
              <w:color w:val="auto"/>
            </w:rPr>
          </w:pPr>
          <w:hyperlink w:anchor="_Toc233297995" w:history="1">
            <w:r w:rsidRPr="005D3526">
              <w:rPr>
                <w:rStyle w:val="Hyperlink"/>
                <w:noProof/>
              </w:rPr>
              <w:t>Order of Assessments</w:t>
            </w:r>
            <w:r>
              <w:rPr>
                <w:noProof/>
                <w:webHidden/>
              </w:rPr>
              <w:tab/>
            </w:r>
            <w:r>
              <w:rPr>
                <w:noProof/>
                <w:webHidden/>
              </w:rPr>
              <w:fldChar w:fldCharType="begin"/>
            </w:r>
            <w:r>
              <w:rPr>
                <w:noProof/>
                <w:webHidden/>
              </w:rPr>
              <w:instrText xml:space="preserve"> PAGEREF _Toc233297995 \h </w:instrText>
            </w:r>
            <w:r>
              <w:rPr>
                <w:noProof/>
                <w:webHidden/>
              </w:rPr>
            </w:r>
            <w:r>
              <w:rPr>
                <w:noProof/>
                <w:webHidden/>
              </w:rPr>
              <w:fldChar w:fldCharType="separate"/>
            </w:r>
            <w:r>
              <w:rPr>
                <w:noProof/>
                <w:webHidden/>
              </w:rPr>
              <w:t>12</w:t>
            </w:r>
            <w:r>
              <w:rPr>
                <w:noProof/>
                <w:webHidden/>
              </w:rPr>
              <w:fldChar w:fldCharType="end"/>
            </w:r>
          </w:hyperlink>
        </w:p>
        <w:p w14:paraId="3FAFBD78" w14:textId="1B35D50F" w:rsidR="00A256DA" w:rsidRDefault="00A256DA">
          <w:pPr>
            <w:pStyle w:val="TOC2"/>
            <w:tabs>
              <w:tab w:val="right" w:leader="dot" w:pos="9350"/>
            </w:tabs>
            <w:rPr>
              <w:rFonts w:asciiTheme="minorHAnsi" w:eastAsiaTheme="minorEastAsia" w:hAnsiTheme="minorHAnsi"/>
              <w:noProof/>
              <w:color w:val="auto"/>
            </w:rPr>
          </w:pPr>
          <w:hyperlink w:anchor="_Toc233297996" w:history="1">
            <w:r w:rsidRPr="005D3526">
              <w:rPr>
                <w:rStyle w:val="Hyperlink"/>
                <w:noProof/>
              </w:rPr>
              <w:t>FED and interRAI Elements Overview</w:t>
            </w:r>
            <w:r>
              <w:rPr>
                <w:noProof/>
                <w:webHidden/>
              </w:rPr>
              <w:tab/>
            </w:r>
            <w:r>
              <w:rPr>
                <w:noProof/>
                <w:webHidden/>
              </w:rPr>
              <w:fldChar w:fldCharType="begin"/>
            </w:r>
            <w:r>
              <w:rPr>
                <w:noProof/>
                <w:webHidden/>
              </w:rPr>
              <w:instrText xml:space="preserve"> PAGEREF _Toc233297996 \h </w:instrText>
            </w:r>
            <w:r>
              <w:rPr>
                <w:noProof/>
                <w:webHidden/>
              </w:rPr>
            </w:r>
            <w:r>
              <w:rPr>
                <w:noProof/>
                <w:webHidden/>
              </w:rPr>
              <w:fldChar w:fldCharType="separate"/>
            </w:r>
            <w:r>
              <w:rPr>
                <w:noProof/>
                <w:webHidden/>
              </w:rPr>
              <w:t>13</w:t>
            </w:r>
            <w:r>
              <w:rPr>
                <w:noProof/>
                <w:webHidden/>
              </w:rPr>
              <w:fldChar w:fldCharType="end"/>
            </w:r>
          </w:hyperlink>
        </w:p>
        <w:p w14:paraId="54047930" w14:textId="305CC242" w:rsidR="00A256DA" w:rsidRDefault="00A256DA">
          <w:pPr>
            <w:pStyle w:val="TOC3"/>
            <w:tabs>
              <w:tab w:val="right" w:leader="dot" w:pos="9350"/>
            </w:tabs>
            <w:rPr>
              <w:rFonts w:asciiTheme="minorHAnsi" w:eastAsiaTheme="minorEastAsia" w:hAnsiTheme="minorHAnsi"/>
              <w:noProof/>
              <w:color w:val="auto"/>
            </w:rPr>
          </w:pPr>
          <w:hyperlink w:anchor="_Toc233297997" w:history="1">
            <w:r w:rsidRPr="005D3526">
              <w:rPr>
                <w:rStyle w:val="Hyperlink"/>
                <w:noProof/>
              </w:rPr>
              <w:t>FED and interRAI Assessments</w:t>
            </w:r>
            <w:r>
              <w:rPr>
                <w:noProof/>
                <w:webHidden/>
              </w:rPr>
              <w:tab/>
            </w:r>
            <w:r>
              <w:rPr>
                <w:noProof/>
                <w:webHidden/>
              </w:rPr>
              <w:fldChar w:fldCharType="begin"/>
            </w:r>
            <w:r>
              <w:rPr>
                <w:noProof/>
                <w:webHidden/>
              </w:rPr>
              <w:instrText xml:space="preserve"> PAGEREF _Toc233297997 \h </w:instrText>
            </w:r>
            <w:r>
              <w:rPr>
                <w:noProof/>
                <w:webHidden/>
              </w:rPr>
            </w:r>
            <w:r>
              <w:rPr>
                <w:noProof/>
                <w:webHidden/>
              </w:rPr>
              <w:fldChar w:fldCharType="separate"/>
            </w:r>
            <w:r>
              <w:rPr>
                <w:noProof/>
                <w:webHidden/>
              </w:rPr>
              <w:t>13</w:t>
            </w:r>
            <w:r>
              <w:rPr>
                <w:noProof/>
                <w:webHidden/>
              </w:rPr>
              <w:fldChar w:fldCharType="end"/>
            </w:r>
          </w:hyperlink>
        </w:p>
        <w:p w14:paraId="4AAA030C" w14:textId="045D20AC" w:rsidR="00A256DA" w:rsidRDefault="00A256DA">
          <w:pPr>
            <w:pStyle w:val="TOC3"/>
            <w:tabs>
              <w:tab w:val="right" w:leader="dot" w:pos="9350"/>
            </w:tabs>
            <w:rPr>
              <w:rFonts w:asciiTheme="minorHAnsi" w:eastAsiaTheme="minorEastAsia" w:hAnsiTheme="minorHAnsi"/>
              <w:noProof/>
              <w:color w:val="auto"/>
            </w:rPr>
          </w:pPr>
          <w:hyperlink w:anchor="_Toc233297998" w:history="1">
            <w:r w:rsidRPr="005D3526">
              <w:rPr>
                <w:rStyle w:val="Hyperlink"/>
                <w:noProof/>
              </w:rPr>
              <w:t>interRAI Additional Elements</w:t>
            </w:r>
            <w:r>
              <w:rPr>
                <w:noProof/>
                <w:webHidden/>
              </w:rPr>
              <w:tab/>
            </w:r>
            <w:r>
              <w:rPr>
                <w:noProof/>
                <w:webHidden/>
              </w:rPr>
              <w:fldChar w:fldCharType="begin"/>
            </w:r>
            <w:r>
              <w:rPr>
                <w:noProof/>
                <w:webHidden/>
              </w:rPr>
              <w:instrText xml:space="preserve"> PAGEREF _Toc233297998 \h </w:instrText>
            </w:r>
            <w:r>
              <w:rPr>
                <w:noProof/>
                <w:webHidden/>
              </w:rPr>
            </w:r>
            <w:r>
              <w:rPr>
                <w:noProof/>
                <w:webHidden/>
              </w:rPr>
              <w:fldChar w:fldCharType="separate"/>
            </w:r>
            <w:r>
              <w:rPr>
                <w:noProof/>
                <w:webHidden/>
              </w:rPr>
              <w:t>13</w:t>
            </w:r>
            <w:r>
              <w:rPr>
                <w:noProof/>
                <w:webHidden/>
              </w:rPr>
              <w:fldChar w:fldCharType="end"/>
            </w:r>
          </w:hyperlink>
        </w:p>
        <w:p w14:paraId="7743D0AD" w14:textId="3A36572E" w:rsidR="00A256DA" w:rsidRDefault="00A256DA">
          <w:pPr>
            <w:pStyle w:val="TOC2"/>
            <w:tabs>
              <w:tab w:val="right" w:leader="dot" w:pos="9350"/>
            </w:tabs>
            <w:rPr>
              <w:rFonts w:asciiTheme="minorHAnsi" w:eastAsiaTheme="minorEastAsia" w:hAnsiTheme="minorHAnsi"/>
              <w:noProof/>
              <w:color w:val="auto"/>
            </w:rPr>
          </w:pPr>
          <w:hyperlink w:anchor="_Toc233297999" w:history="1">
            <w:r w:rsidRPr="005D3526">
              <w:rPr>
                <w:rStyle w:val="Hyperlink"/>
                <w:noProof/>
              </w:rPr>
              <w:t>Functional Eligibility Determination (FED)</w:t>
            </w:r>
            <w:r>
              <w:rPr>
                <w:noProof/>
                <w:webHidden/>
              </w:rPr>
              <w:tab/>
            </w:r>
            <w:r>
              <w:rPr>
                <w:noProof/>
                <w:webHidden/>
              </w:rPr>
              <w:fldChar w:fldCharType="begin"/>
            </w:r>
            <w:r>
              <w:rPr>
                <w:noProof/>
                <w:webHidden/>
              </w:rPr>
              <w:instrText xml:space="preserve"> PAGEREF _Toc233297999 \h </w:instrText>
            </w:r>
            <w:r>
              <w:rPr>
                <w:noProof/>
                <w:webHidden/>
              </w:rPr>
            </w:r>
            <w:r>
              <w:rPr>
                <w:noProof/>
                <w:webHidden/>
              </w:rPr>
              <w:fldChar w:fldCharType="separate"/>
            </w:r>
            <w:r>
              <w:rPr>
                <w:noProof/>
                <w:webHidden/>
              </w:rPr>
              <w:t>14</w:t>
            </w:r>
            <w:r>
              <w:rPr>
                <w:noProof/>
                <w:webHidden/>
              </w:rPr>
              <w:fldChar w:fldCharType="end"/>
            </w:r>
          </w:hyperlink>
        </w:p>
        <w:p w14:paraId="7FA97D92" w14:textId="1AC08F66" w:rsidR="00A256DA" w:rsidRDefault="00A256DA">
          <w:pPr>
            <w:pStyle w:val="TOC3"/>
            <w:tabs>
              <w:tab w:val="right" w:leader="dot" w:pos="9350"/>
            </w:tabs>
            <w:rPr>
              <w:rFonts w:asciiTheme="minorHAnsi" w:eastAsiaTheme="minorEastAsia" w:hAnsiTheme="minorHAnsi"/>
              <w:noProof/>
              <w:color w:val="auto"/>
            </w:rPr>
          </w:pPr>
          <w:hyperlink w:anchor="_Toc233298000" w:history="1">
            <w:r w:rsidRPr="005D3526">
              <w:rPr>
                <w:rStyle w:val="Hyperlink"/>
                <w:noProof/>
              </w:rPr>
              <w:t>Coding Comments</w:t>
            </w:r>
            <w:r>
              <w:rPr>
                <w:noProof/>
                <w:webHidden/>
              </w:rPr>
              <w:tab/>
            </w:r>
            <w:r>
              <w:rPr>
                <w:noProof/>
                <w:webHidden/>
              </w:rPr>
              <w:fldChar w:fldCharType="begin"/>
            </w:r>
            <w:r>
              <w:rPr>
                <w:noProof/>
                <w:webHidden/>
              </w:rPr>
              <w:instrText xml:space="preserve"> PAGEREF _Toc233298000 \h </w:instrText>
            </w:r>
            <w:r>
              <w:rPr>
                <w:noProof/>
                <w:webHidden/>
              </w:rPr>
            </w:r>
            <w:r>
              <w:rPr>
                <w:noProof/>
                <w:webHidden/>
              </w:rPr>
              <w:fldChar w:fldCharType="separate"/>
            </w:r>
            <w:r>
              <w:rPr>
                <w:noProof/>
                <w:webHidden/>
              </w:rPr>
              <w:t>14</w:t>
            </w:r>
            <w:r>
              <w:rPr>
                <w:noProof/>
                <w:webHidden/>
              </w:rPr>
              <w:fldChar w:fldCharType="end"/>
            </w:r>
          </w:hyperlink>
        </w:p>
        <w:p w14:paraId="24434CA4" w14:textId="78B8F797" w:rsidR="00A256DA" w:rsidRDefault="00A256DA">
          <w:pPr>
            <w:pStyle w:val="TOC3"/>
            <w:tabs>
              <w:tab w:val="right" w:leader="dot" w:pos="9350"/>
            </w:tabs>
            <w:rPr>
              <w:rFonts w:asciiTheme="minorHAnsi" w:eastAsiaTheme="minorEastAsia" w:hAnsiTheme="minorHAnsi"/>
              <w:noProof/>
              <w:color w:val="auto"/>
            </w:rPr>
          </w:pPr>
          <w:hyperlink w:anchor="_Toc233298001" w:history="1">
            <w:r w:rsidRPr="005D3526">
              <w:rPr>
                <w:rStyle w:val="Hyperlink"/>
                <w:noProof/>
              </w:rPr>
              <w:t>FED – Section A</w:t>
            </w:r>
            <w:r>
              <w:rPr>
                <w:noProof/>
                <w:webHidden/>
              </w:rPr>
              <w:tab/>
            </w:r>
            <w:r>
              <w:rPr>
                <w:noProof/>
                <w:webHidden/>
              </w:rPr>
              <w:fldChar w:fldCharType="begin"/>
            </w:r>
            <w:r>
              <w:rPr>
                <w:noProof/>
                <w:webHidden/>
              </w:rPr>
              <w:instrText xml:space="preserve"> PAGEREF _Toc233298001 \h </w:instrText>
            </w:r>
            <w:r>
              <w:rPr>
                <w:noProof/>
                <w:webHidden/>
              </w:rPr>
            </w:r>
            <w:r>
              <w:rPr>
                <w:noProof/>
                <w:webHidden/>
              </w:rPr>
              <w:fldChar w:fldCharType="separate"/>
            </w:r>
            <w:r>
              <w:rPr>
                <w:noProof/>
                <w:webHidden/>
              </w:rPr>
              <w:t>14</w:t>
            </w:r>
            <w:r>
              <w:rPr>
                <w:noProof/>
                <w:webHidden/>
              </w:rPr>
              <w:fldChar w:fldCharType="end"/>
            </w:r>
          </w:hyperlink>
        </w:p>
        <w:p w14:paraId="44DFFA22" w14:textId="613C400A" w:rsidR="00A256DA" w:rsidRDefault="00A256DA">
          <w:pPr>
            <w:pStyle w:val="TOC3"/>
            <w:tabs>
              <w:tab w:val="right" w:leader="dot" w:pos="9350"/>
            </w:tabs>
            <w:rPr>
              <w:rFonts w:asciiTheme="minorHAnsi" w:eastAsiaTheme="minorEastAsia" w:hAnsiTheme="minorHAnsi"/>
              <w:noProof/>
              <w:color w:val="auto"/>
            </w:rPr>
          </w:pPr>
          <w:hyperlink w:anchor="_Toc233298002" w:history="1">
            <w:r w:rsidRPr="005D3526">
              <w:rPr>
                <w:rStyle w:val="Hyperlink"/>
                <w:noProof/>
              </w:rPr>
              <w:t>FED – Section B</w:t>
            </w:r>
            <w:r>
              <w:rPr>
                <w:noProof/>
                <w:webHidden/>
              </w:rPr>
              <w:tab/>
            </w:r>
            <w:r>
              <w:rPr>
                <w:noProof/>
                <w:webHidden/>
              </w:rPr>
              <w:fldChar w:fldCharType="begin"/>
            </w:r>
            <w:r>
              <w:rPr>
                <w:noProof/>
                <w:webHidden/>
              </w:rPr>
              <w:instrText xml:space="preserve"> PAGEREF _Toc233298002 \h </w:instrText>
            </w:r>
            <w:r>
              <w:rPr>
                <w:noProof/>
                <w:webHidden/>
              </w:rPr>
            </w:r>
            <w:r>
              <w:rPr>
                <w:noProof/>
                <w:webHidden/>
              </w:rPr>
              <w:fldChar w:fldCharType="separate"/>
            </w:r>
            <w:r>
              <w:rPr>
                <w:noProof/>
                <w:webHidden/>
              </w:rPr>
              <w:t>15</w:t>
            </w:r>
            <w:r>
              <w:rPr>
                <w:noProof/>
                <w:webHidden/>
              </w:rPr>
              <w:fldChar w:fldCharType="end"/>
            </w:r>
          </w:hyperlink>
        </w:p>
        <w:p w14:paraId="5F8BB9EC" w14:textId="272D2532" w:rsidR="00A256DA" w:rsidRDefault="00A256DA">
          <w:pPr>
            <w:pStyle w:val="TOC3"/>
            <w:tabs>
              <w:tab w:val="right" w:leader="dot" w:pos="9350"/>
            </w:tabs>
            <w:rPr>
              <w:rFonts w:asciiTheme="minorHAnsi" w:eastAsiaTheme="minorEastAsia" w:hAnsiTheme="minorHAnsi"/>
              <w:noProof/>
              <w:color w:val="auto"/>
            </w:rPr>
          </w:pPr>
          <w:hyperlink w:anchor="_Toc233298003" w:history="1">
            <w:r w:rsidRPr="005D3526">
              <w:rPr>
                <w:rStyle w:val="Hyperlink"/>
                <w:noProof/>
              </w:rPr>
              <w:t>FED – Section C</w:t>
            </w:r>
            <w:r>
              <w:rPr>
                <w:noProof/>
                <w:webHidden/>
              </w:rPr>
              <w:tab/>
            </w:r>
            <w:r>
              <w:rPr>
                <w:noProof/>
                <w:webHidden/>
              </w:rPr>
              <w:fldChar w:fldCharType="begin"/>
            </w:r>
            <w:r>
              <w:rPr>
                <w:noProof/>
                <w:webHidden/>
              </w:rPr>
              <w:instrText xml:space="preserve"> PAGEREF _Toc233298003 \h </w:instrText>
            </w:r>
            <w:r>
              <w:rPr>
                <w:noProof/>
                <w:webHidden/>
              </w:rPr>
            </w:r>
            <w:r>
              <w:rPr>
                <w:noProof/>
                <w:webHidden/>
              </w:rPr>
              <w:fldChar w:fldCharType="separate"/>
            </w:r>
            <w:r>
              <w:rPr>
                <w:noProof/>
                <w:webHidden/>
              </w:rPr>
              <w:t>19</w:t>
            </w:r>
            <w:r>
              <w:rPr>
                <w:noProof/>
                <w:webHidden/>
              </w:rPr>
              <w:fldChar w:fldCharType="end"/>
            </w:r>
          </w:hyperlink>
        </w:p>
        <w:p w14:paraId="0E688F32" w14:textId="25B49A86" w:rsidR="00A256DA" w:rsidRDefault="00A256DA">
          <w:pPr>
            <w:pStyle w:val="TOC3"/>
            <w:tabs>
              <w:tab w:val="right" w:leader="dot" w:pos="9350"/>
            </w:tabs>
            <w:rPr>
              <w:rFonts w:asciiTheme="minorHAnsi" w:eastAsiaTheme="minorEastAsia" w:hAnsiTheme="minorHAnsi"/>
              <w:noProof/>
              <w:color w:val="auto"/>
            </w:rPr>
          </w:pPr>
          <w:hyperlink w:anchor="_Toc233298004" w:history="1">
            <w:r w:rsidRPr="005D3526">
              <w:rPr>
                <w:rStyle w:val="Hyperlink"/>
                <w:noProof/>
              </w:rPr>
              <w:t>FED – Section D</w:t>
            </w:r>
            <w:r>
              <w:rPr>
                <w:noProof/>
                <w:webHidden/>
              </w:rPr>
              <w:tab/>
            </w:r>
            <w:r>
              <w:rPr>
                <w:noProof/>
                <w:webHidden/>
              </w:rPr>
              <w:fldChar w:fldCharType="begin"/>
            </w:r>
            <w:r>
              <w:rPr>
                <w:noProof/>
                <w:webHidden/>
              </w:rPr>
              <w:instrText xml:space="preserve"> PAGEREF _Toc233298004 \h </w:instrText>
            </w:r>
            <w:r>
              <w:rPr>
                <w:noProof/>
                <w:webHidden/>
              </w:rPr>
            </w:r>
            <w:r>
              <w:rPr>
                <w:noProof/>
                <w:webHidden/>
              </w:rPr>
              <w:fldChar w:fldCharType="separate"/>
            </w:r>
            <w:r>
              <w:rPr>
                <w:noProof/>
                <w:webHidden/>
              </w:rPr>
              <w:t>22</w:t>
            </w:r>
            <w:r>
              <w:rPr>
                <w:noProof/>
                <w:webHidden/>
              </w:rPr>
              <w:fldChar w:fldCharType="end"/>
            </w:r>
          </w:hyperlink>
        </w:p>
        <w:p w14:paraId="5C4A1953" w14:textId="2CED8264" w:rsidR="00A256DA" w:rsidRDefault="00A256DA">
          <w:pPr>
            <w:pStyle w:val="TOC3"/>
            <w:tabs>
              <w:tab w:val="right" w:leader="dot" w:pos="9350"/>
            </w:tabs>
            <w:rPr>
              <w:rFonts w:asciiTheme="minorHAnsi" w:eastAsiaTheme="minorEastAsia" w:hAnsiTheme="minorHAnsi"/>
              <w:noProof/>
              <w:color w:val="auto"/>
            </w:rPr>
          </w:pPr>
          <w:hyperlink w:anchor="_Toc233298005" w:history="1">
            <w:r w:rsidRPr="005D3526">
              <w:rPr>
                <w:rStyle w:val="Hyperlink"/>
                <w:noProof/>
              </w:rPr>
              <w:t>FED – Section E</w:t>
            </w:r>
            <w:r>
              <w:rPr>
                <w:noProof/>
                <w:webHidden/>
              </w:rPr>
              <w:tab/>
            </w:r>
            <w:r>
              <w:rPr>
                <w:noProof/>
                <w:webHidden/>
              </w:rPr>
              <w:fldChar w:fldCharType="begin"/>
            </w:r>
            <w:r>
              <w:rPr>
                <w:noProof/>
                <w:webHidden/>
              </w:rPr>
              <w:instrText xml:space="preserve"> PAGEREF _Toc233298005 \h </w:instrText>
            </w:r>
            <w:r>
              <w:rPr>
                <w:noProof/>
                <w:webHidden/>
              </w:rPr>
            </w:r>
            <w:r>
              <w:rPr>
                <w:noProof/>
                <w:webHidden/>
              </w:rPr>
              <w:fldChar w:fldCharType="separate"/>
            </w:r>
            <w:r>
              <w:rPr>
                <w:noProof/>
                <w:webHidden/>
              </w:rPr>
              <w:t>30</w:t>
            </w:r>
            <w:r>
              <w:rPr>
                <w:noProof/>
                <w:webHidden/>
              </w:rPr>
              <w:fldChar w:fldCharType="end"/>
            </w:r>
          </w:hyperlink>
        </w:p>
        <w:p w14:paraId="21BA6CC8" w14:textId="30E53043" w:rsidR="00A256DA" w:rsidRDefault="00A256DA">
          <w:pPr>
            <w:pStyle w:val="TOC3"/>
            <w:tabs>
              <w:tab w:val="right" w:leader="dot" w:pos="9350"/>
            </w:tabs>
            <w:rPr>
              <w:rFonts w:asciiTheme="minorHAnsi" w:eastAsiaTheme="minorEastAsia" w:hAnsiTheme="minorHAnsi"/>
              <w:noProof/>
              <w:color w:val="auto"/>
            </w:rPr>
          </w:pPr>
          <w:hyperlink w:anchor="_Toc233298006" w:history="1">
            <w:r w:rsidRPr="005D3526">
              <w:rPr>
                <w:rStyle w:val="Hyperlink"/>
                <w:noProof/>
              </w:rPr>
              <w:t>FED – Section F</w:t>
            </w:r>
            <w:r>
              <w:rPr>
                <w:noProof/>
                <w:webHidden/>
              </w:rPr>
              <w:tab/>
            </w:r>
            <w:r>
              <w:rPr>
                <w:noProof/>
                <w:webHidden/>
              </w:rPr>
              <w:fldChar w:fldCharType="begin"/>
            </w:r>
            <w:r>
              <w:rPr>
                <w:noProof/>
                <w:webHidden/>
              </w:rPr>
              <w:instrText xml:space="preserve"> PAGEREF _Toc233298006 \h </w:instrText>
            </w:r>
            <w:r>
              <w:rPr>
                <w:noProof/>
                <w:webHidden/>
              </w:rPr>
            </w:r>
            <w:r>
              <w:rPr>
                <w:noProof/>
                <w:webHidden/>
              </w:rPr>
              <w:fldChar w:fldCharType="separate"/>
            </w:r>
            <w:r>
              <w:rPr>
                <w:noProof/>
                <w:webHidden/>
              </w:rPr>
              <w:t>34</w:t>
            </w:r>
            <w:r>
              <w:rPr>
                <w:noProof/>
                <w:webHidden/>
              </w:rPr>
              <w:fldChar w:fldCharType="end"/>
            </w:r>
          </w:hyperlink>
        </w:p>
        <w:p w14:paraId="07EBF027" w14:textId="40E9F705" w:rsidR="00A256DA" w:rsidRDefault="00A256DA">
          <w:pPr>
            <w:pStyle w:val="TOC3"/>
            <w:tabs>
              <w:tab w:val="right" w:leader="dot" w:pos="9350"/>
            </w:tabs>
            <w:rPr>
              <w:rFonts w:asciiTheme="minorHAnsi" w:eastAsiaTheme="minorEastAsia" w:hAnsiTheme="minorHAnsi"/>
              <w:noProof/>
              <w:color w:val="auto"/>
            </w:rPr>
          </w:pPr>
          <w:hyperlink w:anchor="_Toc233298007" w:history="1">
            <w:r w:rsidRPr="005D3526">
              <w:rPr>
                <w:rStyle w:val="Hyperlink"/>
                <w:noProof/>
              </w:rPr>
              <w:t>Instrumental Activities of Daily Living</w:t>
            </w:r>
            <w:r>
              <w:rPr>
                <w:noProof/>
                <w:webHidden/>
              </w:rPr>
              <w:tab/>
            </w:r>
            <w:r>
              <w:rPr>
                <w:noProof/>
                <w:webHidden/>
              </w:rPr>
              <w:fldChar w:fldCharType="begin"/>
            </w:r>
            <w:r>
              <w:rPr>
                <w:noProof/>
                <w:webHidden/>
              </w:rPr>
              <w:instrText xml:space="preserve"> PAGEREF _Toc233298007 \h </w:instrText>
            </w:r>
            <w:r>
              <w:rPr>
                <w:noProof/>
                <w:webHidden/>
              </w:rPr>
            </w:r>
            <w:r>
              <w:rPr>
                <w:noProof/>
                <w:webHidden/>
              </w:rPr>
              <w:fldChar w:fldCharType="separate"/>
            </w:r>
            <w:r>
              <w:rPr>
                <w:noProof/>
                <w:webHidden/>
              </w:rPr>
              <w:t>34</w:t>
            </w:r>
            <w:r>
              <w:rPr>
                <w:noProof/>
                <w:webHidden/>
              </w:rPr>
              <w:fldChar w:fldCharType="end"/>
            </w:r>
          </w:hyperlink>
        </w:p>
        <w:p w14:paraId="0168C431" w14:textId="70F9F5C5" w:rsidR="00A256DA" w:rsidRDefault="00A256DA">
          <w:pPr>
            <w:pStyle w:val="TOC2"/>
            <w:tabs>
              <w:tab w:val="right" w:leader="dot" w:pos="9350"/>
            </w:tabs>
            <w:rPr>
              <w:rFonts w:asciiTheme="minorHAnsi" w:eastAsiaTheme="minorEastAsia" w:hAnsiTheme="minorHAnsi"/>
              <w:noProof/>
              <w:color w:val="auto"/>
            </w:rPr>
          </w:pPr>
          <w:hyperlink w:anchor="_Toc233298008" w:history="1">
            <w:r w:rsidRPr="005D3526">
              <w:rPr>
                <w:rStyle w:val="Hyperlink"/>
                <w:noProof/>
              </w:rPr>
              <w:t>FED Determination Scoring Matrix</w:t>
            </w:r>
            <w:r>
              <w:rPr>
                <w:noProof/>
                <w:webHidden/>
              </w:rPr>
              <w:tab/>
            </w:r>
            <w:r>
              <w:rPr>
                <w:noProof/>
                <w:webHidden/>
              </w:rPr>
              <w:fldChar w:fldCharType="begin"/>
            </w:r>
            <w:r>
              <w:rPr>
                <w:noProof/>
                <w:webHidden/>
              </w:rPr>
              <w:instrText xml:space="preserve"> PAGEREF _Toc233298008 \h </w:instrText>
            </w:r>
            <w:r>
              <w:rPr>
                <w:noProof/>
                <w:webHidden/>
              </w:rPr>
            </w:r>
            <w:r>
              <w:rPr>
                <w:noProof/>
                <w:webHidden/>
              </w:rPr>
              <w:fldChar w:fldCharType="separate"/>
            </w:r>
            <w:r>
              <w:rPr>
                <w:noProof/>
                <w:webHidden/>
              </w:rPr>
              <w:t>36</w:t>
            </w:r>
            <w:r>
              <w:rPr>
                <w:noProof/>
                <w:webHidden/>
              </w:rPr>
              <w:fldChar w:fldCharType="end"/>
            </w:r>
          </w:hyperlink>
        </w:p>
        <w:p w14:paraId="2B3B2BDF" w14:textId="4E27773B" w:rsidR="00A256DA" w:rsidRDefault="00A256DA">
          <w:pPr>
            <w:pStyle w:val="TOC3"/>
            <w:tabs>
              <w:tab w:val="right" w:leader="dot" w:pos="9350"/>
            </w:tabs>
            <w:rPr>
              <w:rFonts w:asciiTheme="minorHAnsi" w:eastAsiaTheme="minorEastAsia" w:hAnsiTheme="minorHAnsi"/>
              <w:noProof/>
              <w:color w:val="auto"/>
            </w:rPr>
          </w:pPr>
          <w:hyperlink w:anchor="_Toc233298009" w:history="1">
            <w:r w:rsidRPr="005D3526">
              <w:rPr>
                <w:rStyle w:val="Hyperlink"/>
                <w:noProof/>
              </w:rPr>
              <w:t>FED Scoring</w:t>
            </w:r>
            <w:r>
              <w:rPr>
                <w:noProof/>
                <w:webHidden/>
              </w:rPr>
              <w:tab/>
            </w:r>
            <w:r>
              <w:rPr>
                <w:noProof/>
                <w:webHidden/>
              </w:rPr>
              <w:fldChar w:fldCharType="begin"/>
            </w:r>
            <w:r>
              <w:rPr>
                <w:noProof/>
                <w:webHidden/>
              </w:rPr>
              <w:instrText xml:space="preserve"> PAGEREF _Toc233298009 \h </w:instrText>
            </w:r>
            <w:r>
              <w:rPr>
                <w:noProof/>
                <w:webHidden/>
              </w:rPr>
            </w:r>
            <w:r>
              <w:rPr>
                <w:noProof/>
                <w:webHidden/>
              </w:rPr>
              <w:fldChar w:fldCharType="separate"/>
            </w:r>
            <w:r>
              <w:rPr>
                <w:noProof/>
                <w:webHidden/>
              </w:rPr>
              <w:t>36</w:t>
            </w:r>
            <w:r>
              <w:rPr>
                <w:noProof/>
                <w:webHidden/>
              </w:rPr>
              <w:fldChar w:fldCharType="end"/>
            </w:r>
          </w:hyperlink>
        </w:p>
        <w:p w14:paraId="180ED9F7" w14:textId="76BC4111" w:rsidR="00A256DA" w:rsidRDefault="00A256DA">
          <w:pPr>
            <w:pStyle w:val="TOC3"/>
            <w:tabs>
              <w:tab w:val="right" w:leader="dot" w:pos="9350"/>
            </w:tabs>
            <w:rPr>
              <w:rFonts w:asciiTheme="minorHAnsi" w:eastAsiaTheme="minorEastAsia" w:hAnsiTheme="minorHAnsi"/>
              <w:noProof/>
              <w:color w:val="auto"/>
            </w:rPr>
          </w:pPr>
          <w:hyperlink w:anchor="_Toc233298010" w:history="1">
            <w:r w:rsidRPr="005D3526">
              <w:rPr>
                <w:rStyle w:val="Hyperlink"/>
                <w:noProof/>
              </w:rPr>
              <w:t>FED Scoring Notes</w:t>
            </w:r>
            <w:r>
              <w:rPr>
                <w:noProof/>
                <w:webHidden/>
              </w:rPr>
              <w:tab/>
            </w:r>
            <w:r>
              <w:rPr>
                <w:noProof/>
                <w:webHidden/>
              </w:rPr>
              <w:fldChar w:fldCharType="begin"/>
            </w:r>
            <w:r>
              <w:rPr>
                <w:noProof/>
                <w:webHidden/>
              </w:rPr>
              <w:instrText xml:space="preserve"> PAGEREF _Toc233298010 \h </w:instrText>
            </w:r>
            <w:r>
              <w:rPr>
                <w:noProof/>
                <w:webHidden/>
              </w:rPr>
            </w:r>
            <w:r>
              <w:rPr>
                <w:noProof/>
                <w:webHidden/>
              </w:rPr>
              <w:fldChar w:fldCharType="separate"/>
            </w:r>
            <w:r>
              <w:rPr>
                <w:noProof/>
                <w:webHidden/>
              </w:rPr>
              <w:t>37</w:t>
            </w:r>
            <w:r>
              <w:rPr>
                <w:noProof/>
                <w:webHidden/>
              </w:rPr>
              <w:fldChar w:fldCharType="end"/>
            </w:r>
          </w:hyperlink>
        </w:p>
        <w:p w14:paraId="0CCC9071" w14:textId="73C55B03" w:rsidR="00A256DA" w:rsidRDefault="00A256DA">
          <w:pPr>
            <w:pStyle w:val="TOC2"/>
            <w:tabs>
              <w:tab w:val="right" w:leader="dot" w:pos="9350"/>
            </w:tabs>
            <w:rPr>
              <w:rFonts w:asciiTheme="minorHAnsi" w:eastAsiaTheme="minorEastAsia" w:hAnsiTheme="minorHAnsi"/>
              <w:noProof/>
              <w:color w:val="auto"/>
            </w:rPr>
          </w:pPr>
          <w:hyperlink w:anchor="_Toc233298011" w:history="1">
            <w:r w:rsidRPr="005D3526">
              <w:rPr>
                <w:rStyle w:val="Hyperlink"/>
                <w:noProof/>
              </w:rPr>
              <w:t>Approaching Assessments</w:t>
            </w:r>
            <w:r>
              <w:rPr>
                <w:noProof/>
                <w:webHidden/>
              </w:rPr>
              <w:tab/>
            </w:r>
            <w:r>
              <w:rPr>
                <w:noProof/>
                <w:webHidden/>
              </w:rPr>
              <w:fldChar w:fldCharType="begin"/>
            </w:r>
            <w:r>
              <w:rPr>
                <w:noProof/>
                <w:webHidden/>
              </w:rPr>
              <w:instrText xml:space="preserve"> PAGEREF _Toc233298011 \h </w:instrText>
            </w:r>
            <w:r>
              <w:rPr>
                <w:noProof/>
                <w:webHidden/>
              </w:rPr>
            </w:r>
            <w:r>
              <w:rPr>
                <w:noProof/>
                <w:webHidden/>
              </w:rPr>
              <w:fldChar w:fldCharType="separate"/>
            </w:r>
            <w:r>
              <w:rPr>
                <w:noProof/>
                <w:webHidden/>
              </w:rPr>
              <w:t>37</w:t>
            </w:r>
            <w:r>
              <w:rPr>
                <w:noProof/>
                <w:webHidden/>
              </w:rPr>
              <w:fldChar w:fldCharType="end"/>
            </w:r>
          </w:hyperlink>
        </w:p>
        <w:p w14:paraId="1ECE079F" w14:textId="6E1EDE55" w:rsidR="00A256DA" w:rsidRDefault="00A256DA">
          <w:pPr>
            <w:pStyle w:val="TOC2"/>
            <w:tabs>
              <w:tab w:val="right" w:leader="dot" w:pos="9350"/>
            </w:tabs>
            <w:rPr>
              <w:rFonts w:asciiTheme="minorHAnsi" w:eastAsiaTheme="minorEastAsia" w:hAnsiTheme="minorHAnsi"/>
              <w:noProof/>
              <w:color w:val="auto"/>
            </w:rPr>
          </w:pPr>
          <w:hyperlink w:anchor="_Toc233298012" w:history="1">
            <w:r w:rsidRPr="005D3526">
              <w:rPr>
                <w:rStyle w:val="Hyperlink"/>
                <w:noProof/>
              </w:rPr>
              <w:t>Summary</w:t>
            </w:r>
            <w:r>
              <w:rPr>
                <w:noProof/>
                <w:webHidden/>
              </w:rPr>
              <w:tab/>
            </w:r>
            <w:r>
              <w:rPr>
                <w:noProof/>
                <w:webHidden/>
              </w:rPr>
              <w:fldChar w:fldCharType="begin"/>
            </w:r>
            <w:r>
              <w:rPr>
                <w:noProof/>
                <w:webHidden/>
              </w:rPr>
              <w:instrText xml:space="preserve"> PAGEREF _Toc233298012 \h </w:instrText>
            </w:r>
            <w:r>
              <w:rPr>
                <w:noProof/>
                <w:webHidden/>
              </w:rPr>
            </w:r>
            <w:r>
              <w:rPr>
                <w:noProof/>
                <w:webHidden/>
              </w:rPr>
              <w:fldChar w:fldCharType="separate"/>
            </w:r>
            <w:r>
              <w:rPr>
                <w:noProof/>
                <w:webHidden/>
              </w:rPr>
              <w:t>38</w:t>
            </w:r>
            <w:r>
              <w:rPr>
                <w:noProof/>
                <w:webHidden/>
              </w:rPr>
              <w:fldChar w:fldCharType="end"/>
            </w:r>
          </w:hyperlink>
        </w:p>
        <w:p w14:paraId="6107224F" w14:textId="245E13A0" w:rsidR="00A256DA" w:rsidRDefault="00A256DA">
          <w:pPr>
            <w:pStyle w:val="TOC2"/>
            <w:tabs>
              <w:tab w:val="right" w:leader="dot" w:pos="9350"/>
            </w:tabs>
            <w:rPr>
              <w:rFonts w:asciiTheme="minorHAnsi" w:eastAsiaTheme="minorEastAsia" w:hAnsiTheme="minorHAnsi"/>
              <w:noProof/>
              <w:color w:val="auto"/>
            </w:rPr>
          </w:pPr>
          <w:hyperlink w:anchor="_Toc233298013" w:history="1">
            <w:r w:rsidRPr="005D3526">
              <w:rPr>
                <w:rStyle w:val="Hyperlink"/>
                <w:noProof/>
              </w:rPr>
              <w:t>Assessment Summary</w:t>
            </w:r>
            <w:r>
              <w:rPr>
                <w:noProof/>
                <w:webHidden/>
              </w:rPr>
              <w:tab/>
            </w:r>
            <w:r>
              <w:rPr>
                <w:noProof/>
                <w:webHidden/>
              </w:rPr>
              <w:fldChar w:fldCharType="begin"/>
            </w:r>
            <w:r>
              <w:rPr>
                <w:noProof/>
                <w:webHidden/>
              </w:rPr>
              <w:instrText xml:space="preserve"> PAGEREF _Toc233298013 \h </w:instrText>
            </w:r>
            <w:r>
              <w:rPr>
                <w:noProof/>
                <w:webHidden/>
              </w:rPr>
            </w:r>
            <w:r>
              <w:rPr>
                <w:noProof/>
                <w:webHidden/>
              </w:rPr>
              <w:fldChar w:fldCharType="separate"/>
            </w:r>
            <w:r>
              <w:rPr>
                <w:noProof/>
                <w:webHidden/>
              </w:rPr>
              <w:t>38</w:t>
            </w:r>
            <w:r>
              <w:rPr>
                <w:noProof/>
                <w:webHidden/>
              </w:rPr>
              <w:fldChar w:fldCharType="end"/>
            </w:r>
          </w:hyperlink>
        </w:p>
        <w:p w14:paraId="69BC1417" w14:textId="18A6C282" w:rsidR="00A256DA" w:rsidRDefault="00A256DA">
          <w:pPr>
            <w:pStyle w:val="TOC2"/>
            <w:tabs>
              <w:tab w:val="right" w:leader="dot" w:pos="9350"/>
            </w:tabs>
            <w:rPr>
              <w:rFonts w:asciiTheme="minorHAnsi" w:eastAsiaTheme="minorEastAsia" w:hAnsiTheme="minorHAnsi"/>
              <w:noProof/>
              <w:color w:val="auto"/>
            </w:rPr>
          </w:pPr>
          <w:hyperlink w:anchor="_Toc233298014" w:history="1">
            <w:r w:rsidRPr="005D3526">
              <w:rPr>
                <w:rStyle w:val="Hyperlink"/>
                <w:noProof/>
              </w:rPr>
              <w:t>Knowledge Check</w:t>
            </w:r>
            <w:r>
              <w:rPr>
                <w:noProof/>
                <w:webHidden/>
              </w:rPr>
              <w:tab/>
            </w:r>
            <w:r>
              <w:rPr>
                <w:noProof/>
                <w:webHidden/>
              </w:rPr>
              <w:fldChar w:fldCharType="begin"/>
            </w:r>
            <w:r>
              <w:rPr>
                <w:noProof/>
                <w:webHidden/>
              </w:rPr>
              <w:instrText xml:space="preserve"> PAGEREF _Toc233298014 \h </w:instrText>
            </w:r>
            <w:r>
              <w:rPr>
                <w:noProof/>
                <w:webHidden/>
              </w:rPr>
            </w:r>
            <w:r>
              <w:rPr>
                <w:noProof/>
                <w:webHidden/>
              </w:rPr>
              <w:fldChar w:fldCharType="separate"/>
            </w:r>
            <w:r>
              <w:rPr>
                <w:noProof/>
                <w:webHidden/>
              </w:rPr>
              <w:t>38</w:t>
            </w:r>
            <w:r>
              <w:rPr>
                <w:noProof/>
                <w:webHidden/>
              </w:rPr>
              <w:fldChar w:fldCharType="end"/>
            </w:r>
          </w:hyperlink>
        </w:p>
        <w:p w14:paraId="6F5BA15A" w14:textId="734AADC2" w:rsidR="00A256DA" w:rsidRDefault="00A256DA">
          <w:pPr>
            <w:pStyle w:val="TOC2"/>
            <w:tabs>
              <w:tab w:val="right" w:leader="dot" w:pos="9350"/>
            </w:tabs>
            <w:rPr>
              <w:rFonts w:asciiTheme="minorHAnsi" w:eastAsiaTheme="minorEastAsia" w:hAnsiTheme="minorHAnsi"/>
              <w:noProof/>
              <w:color w:val="auto"/>
            </w:rPr>
          </w:pPr>
          <w:hyperlink w:anchor="_Toc233298015" w:history="1">
            <w:r w:rsidRPr="005D3526">
              <w:rPr>
                <w:rStyle w:val="Hyperlink"/>
                <w:noProof/>
              </w:rPr>
              <w:t>Conclusion &amp; Next Steps</w:t>
            </w:r>
            <w:r>
              <w:rPr>
                <w:noProof/>
                <w:webHidden/>
              </w:rPr>
              <w:tab/>
            </w:r>
            <w:r>
              <w:rPr>
                <w:noProof/>
                <w:webHidden/>
              </w:rPr>
              <w:fldChar w:fldCharType="begin"/>
            </w:r>
            <w:r>
              <w:rPr>
                <w:noProof/>
                <w:webHidden/>
              </w:rPr>
              <w:instrText xml:space="preserve"> PAGEREF _Toc233298015 \h </w:instrText>
            </w:r>
            <w:r>
              <w:rPr>
                <w:noProof/>
                <w:webHidden/>
              </w:rPr>
            </w:r>
            <w:r>
              <w:rPr>
                <w:noProof/>
                <w:webHidden/>
              </w:rPr>
              <w:fldChar w:fldCharType="separate"/>
            </w:r>
            <w:r>
              <w:rPr>
                <w:noProof/>
                <w:webHidden/>
              </w:rPr>
              <w:t>40</w:t>
            </w:r>
            <w:r>
              <w:rPr>
                <w:noProof/>
                <w:webHidden/>
              </w:rPr>
              <w:fldChar w:fldCharType="end"/>
            </w:r>
          </w:hyperlink>
        </w:p>
        <w:p w14:paraId="13228F46" w14:textId="2949E239" w:rsidR="006A2D41" w:rsidRDefault="006A2D41">
          <w:r>
            <w:rPr>
              <w:b/>
              <w:bCs/>
              <w:noProof/>
            </w:rPr>
            <w:fldChar w:fldCharType="end"/>
          </w:r>
        </w:p>
      </w:sdtContent>
    </w:sdt>
    <w:p w14:paraId="18CE0843" w14:textId="6EE818D0" w:rsidR="006A2D41" w:rsidRDefault="006A2D41" w:rsidP="006A2D41">
      <w:r>
        <w:br w:type="page"/>
      </w:r>
    </w:p>
    <w:p w14:paraId="56742B5F" w14:textId="2B3F7B04" w:rsidR="001F27F4" w:rsidRPr="006A2D41" w:rsidRDefault="000D3AE5" w:rsidP="006A2D41">
      <w:pPr>
        <w:pStyle w:val="Heading2"/>
      </w:pPr>
      <w:bookmarkStart w:id="0" w:name="_Toc233297970"/>
      <w:r w:rsidRPr="006A2D41">
        <w:lastRenderedPageBreak/>
        <w:t>Welcome</w:t>
      </w:r>
      <w:bookmarkEnd w:id="0"/>
    </w:p>
    <w:p w14:paraId="4B68A434" w14:textId="286E0BE2" w:rsidR="001F27F4" w:rsidRDefault="000D3AE5" w:rsidP="006A2D41">
      <w:r w:rsidRPr="006A2D41">
        <w:t>Welcome to the Office of Long-Term Living (OLTL) Pennsylvania Assessments Version 10 Training, Functional Eligibility Determination (FED) and interRAI Comprehensive Needs Assessment.</w:t>
      </w:r>
    </w:p>
    <w:p w14:paraId="08702AB9" w14:textId="596590BA" w:rsidR="001F27F4" w:rsidRDefault="000D3AE5" w:rsidP="00004301">
      <w:pPr>
        <w:pStyle w:val="Heading3"/>
      </w:pPr>
      <w:bookmarkStart w:id="1" w:name="_Toc233297971"/>
      <w:r>
        <w:t>Case Studies</w:t>
      </w:r>
      <w:bookmarkEnd w:id="1"/>
    </w:p>
    <w:p w14:paraId="4A12D956" w14:textId="77777777" w:rsidR="000D3AE5" w:rsidRDefault="000D3AE5" w:rsidP="006A2D41">
      <w:pPr>
        <w:rPr>
          <w:rFonts w:ascii="Microsoft Sans Serif" w:hAnsi="Microsoft Sans Serif" w:cs="Microsoft Sans Serif"/>
          <w:sz w:val="17"/>
          <w:szCs w:val="17"/>
        </w:rPr>
      </w:pPr>
      <w:r>
        <w:t>There is a Case Study Guide associated with this online course. Throughout this course, you will be asked to reference the case studies in this guide for an application of the FED and interRAI guidance. You can find a link to the Case Study Guide below the launch button for this course. If you haven’t done so already, please download the Case Study Guide now before proceeding with this course.</w:t>
      </w:r>
    </w:p>
    <w:p w14:paraId="3E50EE9F" w14:textId="164A5A37" w:rsidR="001F27F4" w:rsidRDefault="000D3AE5" w:rsidP="00004301">
      <w:pPr>
        <w:pStyle w:val="Heading3"/>
      </w:pPr>
      <w:bookmarkStart w:id="2" w:name="_Toc233297972"/>
      <w:r>
        <w:t>Certificate</w:t>
      </w:r>
      <w:bookmarkEnd w:id="2"/>
    </w:p>
    <w:p w14:paraId="5C53B315" w14:textId="36540903" w:rsidR="001F27F4" w:rsidRPr="00F05855" w:rsidRDefault="000D3AE5" w:rsidP="006A2D41">
      <w:pPr>
        <w:rPr>
          <w:rFonts w:ascii="Microsoft Sans Serif" w:hAnsi="Microsoft Sans Serif" w:cs="Microsoft Sans Serif"/>
          <w:sz w:val="17"/>
          <w:szCs w:val="17"/>
        </w:rPr>
      </w:pPr>
      <w:r>
        <w:t xml:space="preserve">Upon completing this course, you will be prompted to register your completion. To do this, click the </w:t>
      </w:r>
      <w:r w:rsidR="007422F1">
        <w:t>“</w:t>
      </w:r>
      <w:r>
        <w:t>Register Completion</w:t>
      </w:r>
      <w:r w:rsidR="007422F1">
        <w:t>”</w:t>
      </w:r>
      <w:r>
        <w:t xml:space="preserve"> button and fill out the online form. After submitting the form, click the “Click here to print your certificate of completion” link to generate your certificate. Then</w:t>
      </w:r>
      <w:r w:rsidR="00802FDF">
        <w:t>,</w:t>
      </w:r>
      <w:r>
        <w:t xml:space="preserve"> click the “Print” link to access a print-friendly version of your certificate.</w:t>
      </w:r>
      <w:r>
        <w:rPr>
          <w:sz w:val="32"/>
          <w:szCs w:val="32"/>
        </w:rPr>
        <w:t xml:space="preserve"> </w:t>
      </w:r>
    </w:p>
    <w:p w14:paraId="120A0C77" w14:textId="66CE90E7" w:rsidR="001F27F4" w:rsidRDefault="000D3AE5" w:rsidP="00004301">
      <w:pPr>
        <w:pStyle w:val="Heading3"/>
      </w:pPr>
      <w:bookmarkStart w:id="3" w:name="_Toc233297973"/>
      <w:r>
        <w:t>Training Goals &amp; Learning Outcomes</w:t>
      </w:r>
      <w:bookmarkEnd w:id="3"/>
    </w:p>
    <w:p w14:paraId="022E2C2B" w14:textId="77777777" w:rsidR="000D3AE5" w:rsidRDefault="000D3AE5" w:rsidP="006A2D41">
      <w:r>
        <w:t>The training program goals are to:</w:t>
      </w:r>
    </w:p>
    <w:p w14:paraId="40612C30" w14:textId="77777777" w:rsidR="000D3AE5" w:rsidRDefault="000D3AE5" w:rsidP="00F05855">
      <w:pPr>
        <w:pStyle w:val="ListParagraph"/>
        <w:numPr>
          <w:ilvl w:val="0"/>
          <w:numId w:val="2"/>
        </w:numPr>
      </w:pPr>
      <w:r>
        <w:t>Ensure consistency among assessments that are completed by FED assessors and Managed Care Organization (MCO) Service Coordinators (SCs).</w:t>
      </w:r>
    </w:p>
    <w:p w14:paraId="6AE8FA9D" w14:textId="77777777" w:rsidR="000D3AE5" w:rsidRDefault="000D3AE5" w:rsidP="00F05855">
      <w:pPr>
        <w:pStyle w:val="ListParagraph"/>
        <w:numPr>
          <w:ilvl w:val="0"/>
          <w:numId w:val="2"/>
        </w:numPr>
      </w:pPr>
      <w:r>
        <w:t>Increase assessor consistency and accuracy in assessments at each stage.</w:t>
      </w:r>
    </w:p>
    <w:p w14:paraId="06E34D54" w14:textId="77777777" w:rsidR="000D3AE5" w:rsidRDefault="000D3AE5" w:rsidP="00F05855">
      <w:pPr>
        <w:pStyle w:val="ListParagraph"/>
        <w:numPr>
          <w:ilvl w:val="0"/>
          <w:numId w:val="2"/>
        </w:numPr>
      </w:pPr>
      <w:r>
        <w:t>Promote a common understanding of Pennsylvania definitions, coding, and nursing facility eligibility determinations.</w:t>
      </w:r>
    </w:p>
    <w:p w14:paraId="5EFEE227" w14:textId="77777777" w:rsidR="000D3AE5" w:rsidRDefault="000D3AE5" w:rsidP="006A2D41">
      <w:pPr>
        <w:rPr>
          <w:rFonts w:ascii="Microsoft Sans Serif" w:hAnsi="Microsoft Sans Serif" w:cs="Microsoft Sans Serif"/>
          <w:sz w:val="17"/>
          <w:szCs w:val="17"/>
        </w:rPr>
      </w:pPr>
      <w:r>
        <w:t>At the end of the training, assessors will be able to administer the interRAI assessment accurately, consistently, and in a person-centered manner.</w:t>
      </w:r>
    </w:p>
    <w:p w14:paraId="1911F0D5" w14:textId="0373EF4B" w:rsidR="001F27F4" w:rsidRDefault="000D3AE5" w:rsidP="00004301">
      <w:pPr>
        <w:pStyle w:val="Heading3"/>
      </w:pPr>
      <w:bookmarkStart w:id="4" w:name="_Toc233297974"/>
      <w:r>
        <w:t>Agenda</w:t>
      </w:r>
      <w:bookmarkEnd w:id="4"/>
    </w:p>
    <w:p w14:paraId="57E3EBA3" w14:textId="77777777" w:rsidR="000D3AE5" w:rsidRDefault="000D3AE5" w:rsidP="006A2D41">
      <w:r>
        <w:t>To reach the program goals, we’ll use a roadmap. The agenda is as follows:</w:t>
      </w:r>
    </w:p>
    <w:p w14:paraId="5DD3A1EE" w14:textId="77777777" w:rsidR="000D3AE5" w:rsidRDefault="000D3AE5" w:rsidP="00F05855">
      <w:pPr>
        <w:pStyle w:val="ListParagraph"/>
        <w:numPr>
          <w:ilvl w:val="0"/>
          <w:numId w:val="2"/>
        </w:numPr>
      </w:pPr>
      <w:r>
        <w:t>Review common roles, elements, and interrelationships between FED and interRAI Comprehensive Needs Assessments.</w:t>
      </w:r>
    </w:p>
    <w:p w14:paraId="1AF81FE0" w14:textId="77777777" w:rsidR="000D3AE5" w:rsidRDefault="000D3AE5" w:rsidP="00F05855">
      <w:pPr>
        <w:pStyle w:val="ListParagraph"/>
        <w:numPr>
          <w:ilvl w:val="0"/>
          <w:numId w:val="2"/>
        </w:numPr>
      </w:pPr>
      <w:r>
        <w:t>Review approaches to, and best practices in, working with participants.</w:t>
      </w:r>
    </w:p>
    <w:p w14:paraId="3BEB83E1" w14:textId="77777777" w:rsidR="000D3AE5" w:rsidRPr="00F05855" w:rsidRDefault="000D3AE5" w:rsidP="00F05855">
      <w:pPr>
        <w:pStyle w:val="ListParagraph"/>
        <w:numPr>
          <w:ilvl w:val="0"/>
          <w:numId w:val="2"/>
        </w:numPr>
      </w:pPr>
      <w:r>
        <w:t>Review and discuss FED elements of the interRAI.</w:t>
      </w:r>
    </w:p>
    <w:p w14:paraId="0E203CD6" w14:textId="2F02103D" w:rsidR="001F27F4" w:rsidRDefault="000D3AE5" w:rsidP="00004301">
      <w:pPr>
        <w:pStyle w:val="Heading3"/>
      </w:pPr>
      <w:bookmarkStart w:id="5" w:name="_Toc233297975"/>
      <w:r>
        <w:t>Why?</w:t>
      </w:r>
      <w:bookmarkEnd w:id="5"/>
    </w:p>
    <w:p w14:paraId="012CF7CA" w14:textId="2755C340" w:rsidR="000D3AE5" w:rsidRDefault="000D3AE5" w:rsidP="006A2D41">
      <w:r>
        <w:t xml:space="preserve">There are no changes to participant eligibility in the Version 10 interRAI tool. The training is necessary because there are more than 2,500 </w:t>
      </w:r>
      <w:r w:rsidR="003B6AB1">
        <w:t>professionals</w:t>
      </w:r>
      <w:r w:rsidR="00812CC8">
        <w:t>,</w:t>
      </w:r>
      <w:r>
        <w:t xml:space="preserve"> across multiple </w:t>
      </w:r>
      <w:r>
        <w:lastRenderedPageBreak/>
        <w:t>organizations, using the interRAI Home Care Assessment, in varying contexts, such as initial and ongoing program eligibility, and as a broader home care needs assessment to guide and inform service planning outcome measurements.</w:t>
      </w:r>
    </w:p>
    <w:p w14:paraId="3FEFCB5E" w14:textId="77777777" w:rsidR="000D3AE5" w:rsidRDefault="000D3AE5" w:rsidP="006A2D41">
      <w:pPr>
        <w:rPr>
          <w:rFonts w:ascii="Microsoft Sans Serif" w:hAnsi="Microsoft Sans Serif" w:cs="Microsoft Sans Serif"/>
          <w:sz w:val="17"/>
          <w:szCs w:val="17"/>
        </w:rPr>
      </w:pPr>
      <w:r>
        <w:t>The purpose of the course is to ensure that all assessors at Aging Well PA and the three MCOs perform assessments with consistency and the highest quality standards for the people we serve. All assessors will have a shared understanding of elements, definitions, comments, and coding.</w:t>
      </w:r>
    </w:p>
    <w:p w14:paraId="21DF010A" w14:textId="45A70648" w:rsidR="001F27F4" w:rsidRDefault="000D3AE5" w:rsidP="00004301">
      <w:pPr>
        <w:pStyle w:val="Heading3"/>
      </w:pPr>
      <w:bookmarkStart w:id="6" w:name="_Toc233297976"/>
      <w:r>
        <w:t>Key Resources</w:t>
      </w:r>
      <w:bookmarkEnd w:id="6"/>
    </w:p>
    <w:p w14:paraId="0270F3CE" w14:textId="1432E24C" w:rsidR="000D3AE5" w:rsidRDefault="000D3AE5" w:rsidP="006A2D41">
      <w:r>
        <w:t xml:space="preserve">Before performing assessments, make sure you have access to four key documents: </w:t>
      </w:r>
      <w:r w:rsidR="00184195">
        <w:t>t</w:t>
      </w:r>
      <w:r>
        <w:t>he 2009 Nursing Facility Clinically Eligible (NFCE) Clarification Bulletin, the 2019 OLTL Implementation Bulletin, the interRAI Version 10 Pennsylvania Manual, available online at interrai.org, and the 2026 Functional Eligibility Determination bulletin. These four documents provide the necessary guidance and information needed to accurately assess individuals at all stages of their journey.</w:t>
      </w:r>
    </w:p>
    <w:p w14:paraId="0A35E435" w14:textId="77777777" w:rsidR="000D3AE5" w:rsidRDefault="000D3AE5" w:rsidP="006A2D41">
      <w:pPr>
        <w:rPr>
          <w:rFonts w:ascii="Microsoft Sans Serif" w:hAnsi="Microsoft Sans Serif" w:cs="Microsoft Sans Serif"/>
          <w:sz w:val="17"/>
          <w:szCs w:val="17"/>
        </w:rPr>
      </w:pPr>
      <w:r>
        <w:t>If you do not have access to these materials currently, prioritize getting access to these materials. They are your foundations for accurate, defensible assessments.</w:t>
      </w:r>
    </w:p>
    <w:p w14:paraId="6DB557CF" w14:textId="5ABFDEB0" w:rsidR="001F27F4" w:rsidRDefault="000D3AE5" w:rsidP="00004301">
      <w:pPr>
        <w:pStyle w:val="Heading3"/>
      </w:pPr>
      <w:bookmarkStart w:id="7" w:name="_Toc233297977"/>
      <w:r>
        <w:t>What is interRAI?</w:t>
      </w:r>
      <w:bookmarkEnd w:id="7"/>
    </w:p>
    <w:p w14:paraId="4A47C822" w14:textId="77777777" w:rsidR="000D3AE5" w:rsidRDefault="000D3AE5" w:rsidP="006A2D41">
      <w:r>
        <w:t>InterRAI developed the Home Care Assessment, which is used internationally, and the interRAI Version 10 Pennsylvania Manual. InterRAI is a collaborative network of researchers and practitioners in over 35 countries committed to improving care for vulnerable populations. It is a not-for-profit corporation that strives to promote evidence-informed clinical practice and policy decision making.</w:t>
      </w:r>
    </w:p>
    <w:p w14:paraId="21D42F22" w14:textId="77777777" w:rsidR="000D3AE5" w:rsidRDefault="000D3AE5" w:rsidP="006A2D41">
      <w:r>
        <w:t>InterRAI achieves this through the collection and interpretation of high-quality data about the characteristics and outcomes of persons served across a variety of health and social services settings.</w:t>
      </w:r>
    </w:p>
    <w:p w14:paraId="5DE2E7BC" w14:textId="77777777" w:rsidR="000D3AE5" w:rsidRDefault="000D3AE5" w:rsidP="006A2D41">
      <w:r>
        <w:t>Each instrument is the product of rigorous research and testing to establish the reliability and validity of items, outcome measures, assessment protocols, case-mix algorithms, and quality indicators.</w:t>
      </w:r>
    </w:p>
    <w:p w14:paraId="27EDF697" w14:textId="77777777" w:rsidR="000D3AE5" w:rsidRDefault="000D3AE5" w:rsidP="006A2D41">
      <w:r>
        <w:t>InterRAI’s membership is diverse, including health and social services professionals, researchers, and policy makers.</w:t>
      </w:r>
    </w:p>
    <w:p w14:paraId="4C3C461D" w14:textId="77777777" w:rsidR="000D3AE5" w:rsidRDefault="000D3AE5" w:rsidP="006A2D41">
      <w:pPr>
        <w:rPr>
          <w:rFonts w:ascii="Microsoft Sans Serif" w:hAnsi="Microsoft Sans Serif" w:cs="Microsoft Sans Serif"/>
          <w:sz w:val="17"/>
          <w:szCs w:val="17"/>
        </w:rPr>
      </w:pPr>
      <w:r>
        <w:t>As an international volunteer organization, interRAI’s proceeds are used solely to further its work to refine the instruments and support materials in its suite of tools.</w:t>
      </w:r>
    </w:p>
    <w:p w14:paraId="13514E58" w14:textId="2DDCAD3C" w:rsidR="001F27F4" w:rsidRDefault="000D3AE5" w:rsidP="00004301">
      <w:pPr>
        <w:pStyle w:val="Heading3"/>
      </w:pPr>
      <w:bookmarkStart w:id="8" w:name="_Toc233297978"/>
      <w:r>
        <w:t>FED &amp; interRAI Roles</w:t>
      </w:r>
      <w:bookmarkEnd w:id="8"/>
    </w:p>
    <w:p w14:paraId="4A003EC9" w14:textId="77777777" w:rsidR="000D3AE5" w:rsidRDefault="000D3AE5" w:rsidP="006A2D41">
      <w:r>
        <w:t xml:space="preserve">The interRAI Home Care Assessment is person-centered, guiding both eligibility decisions and service planning. The FED uses a subset of interRAI questions to determine nursing facility level of care. Aging Well PA performs initial eligibility </w:t>
      </w:r>
      <w:r>
        <w:lastRenderedPageBreak/>
        <w:t xml:space="preserve">assessments using the FED form attached to the June 8, 2026 Updates to Functional Eligibility Bulletin. The definitions and coding instructions for the FED form are in the interRAI documentation. </w:t>
      </w:r>
    </w:p>
    <w:p w14:paraId="63BEB908" w14:textId="77777777" w:rsidR="000D3AE5" w:rsidRDefault="000D3AE5" w:rsidP="006A2D41">
      <w:pPr>
        <w:rPr>
          <w:rFonts w:ascii="Microsoft Sans Serif" w:hAnsi="Microsoft Sans Serif" w:cs="Microsoft Sans Serif"/>
          <w:sz w:val="17"/>
          <w:szCs w:val="17"/>
        </w:rPr>
      </w:pPr>
      <w:r>
        <w:t>Managed Care Organizations perform ongoing eligibility assessments using the comprehensive interRAI Home Care Assessment tool. The subset of FED questions are pulled from the comprehensive interRAI needs assessment.  They are reviewed by Aging Well PA as part of the reassessment process. Therefore, consistency in definitions and coding across both groups is critical. It ensures participants are assessed consistently and fairly no matter who conducts the assessment.</w:t>
      </w:r>
    </w:p>
    <w:p w14:paraId="3025B719" w14:textId="1A5FFBF0" w:rsidR="001F27F4" w:rsidRDefault="000D3AE5" w:rsidP="00004301">
      <w:pPr>
        <w:pStyle w:val="Heading3"/>
      </w:pPr>
      <w:bookmarkStart w:id="9" w:name="_Toc233297979"/>
      <w:r>
        <w:t>How Does This Affect the Participant?</w:t>
      </w:r>
      <w:bookmarkEnd w:id="9"/>
    </w:p>
    <w:p w14:paraId="63C06074" w14:textId="77777777" w:rsidR="000D3AE5" w:rsidRDefault="000D3AE5" w:rsidP="006A2D41">
      <w:pPr>
        <w:rPr>
          <w:rFonts w:ascii="Microsoft Sans Serif" w:hAnsi="Microsoft Sans Serif" w:cs="Microsoft Sans Serif"/>
          <w:sz w:val="17"/>
          <w:szCs w:val="17"/>
        </w:rPr>
      </w:pPr>
      <w:r>
        <w:t>When an individual seeks assistance with long-term care, the independent enrollment broker, IEB, manages the process. Aging Well PA assessors determine the clinical or functional eligibility part of the process. A physician also certifies that the person meets eligibility criteria.</w:t>
      </w:r>
    </w:p>
    <w:p w14:paraId="6CF7A58A" w14:textId="344CFC7D" w:rsidR="001F27F4" w:rsidRDefault="000D3AE5" w:rsidP="00004301">
      <w:pPr>
        <w:pStyle w:val="Heading3"/>
      </w:pPr>
      <w:bookmarkStart w:id="10" w:name="_Toc233297980"/>
      <w:r>
        <w:t>FED – NFCE Definition</w:t>
      </w:r>
      <w:bookmarkEnd w:id="10"/>
    </w:p>
    <w:p w14:paraId="30BF2CEF" w14:textId="4BD503EC" w:rsidR="000D3AE5" w:rsidRDefault="000D3AE5" w:rsidP="006A2D41">
      <w:r>
        <w:t xml:space="preserve">What exactly is the definition of Nursing Facility Clinically Eligible? The definition is taken from the NFCE </w:t>
      </w:r>
      <w:r w:rsidR="00ED7168">
        <w:t>B</w:t>
      </w:r>
      <w:r>
        <w:t>ulletin.</w:t>
      </w:r>
    </w:p>
    <w:p w14:paraId="71246AC2" w14:textId="0762C379" w:rsidR="000D3AE5" w:rsidRPr="00004301" w:rsidRDefault="000D3AE5" w:rsidP="006A2D41">
      <w:r>
        <w:t xml:space="preserve">The individual has an illness, disability, or medical condition diagnosed by a physician; and, as a result of that diagnosis, injury, or medical condition, the individual requires care and services above the level of room and board; and the physician certifies the </w:t>
      </w:r>
      <w:r w:rsidRPr="00734CBB">
        <w:t xml:space="preserve">individual is NFCE through the MA-570 form; and the care and services are either skilled nursing or rehabilitation services as specified by the Medicare Program, or </w:t>
      </w:r>
      <w:r w:rsidR="009921A1" w:rsidRPr="00734CBB">
        <w:t>h</w:t>
      </w:r>
      <w:r w:rsidRPr="00734CBB">
        <w:t>ealth-related care and services that may not be as inherently complex as skilled nursing or rehabilitation services, but which are needed and provided on a regular basis in the context of a planned program of health care and management and were</w:t>
      </w:r>
      <w:r w:rsidRPr="00004301">
        <w:t xml:space="preserve"> previously only available through institutional facilities.</w:t>
      </w:r>
    </w:p>
    <w:p w14:paraId="026851D4" w14:textId="77777777" w:rsidR="000D3AE5" w:rsidRDefault="000D3AE5" w:rsidP="006A2D41">
      <w:r>
        <w:t>A person is eligible if their medical condition and functional state is such that placement in a nursing facility would be necessary, if not for the availability of home and community-based services.</w:t>
      </w:r>
    </w:p>
    <w:p w14:paraId="6B757CD1" w14:textId="77777777" w:rsidR="000D3AE5" w:rsidRPr="00004301" w:rsidRDefault="000D3AE5" w:rsidP="006A2D41">
      <w:r>
        <w:t>The level of care is the key issue, not where the person receives care. Now, let’s move to the process of initial eligibility determination.</w:t>
      </w:r>
    </w:p>
    <w:p w14:paraId="29D21B66" w14:textId="09E5CF67" w:rsidR="001F27F4" w:rsidRDefault="000D3AE5" w:rsidP="00004301">
      <w:pPr>
        <w:pStyle w:val="Heading3"/>
      </w:pPr>
      <w:bookmarkStart w:id="11" w:name="_Toc233297981"/>
      <w:r>
        <w:t>Initial Eligibility Process</w:t>
      </w:r>
      <w:bookmarkEnd w:id="11"/>
    </w:p>
    <w:p w14:paraId="2E0BB139" w14:textId="77777777" w:rsidR="000D3AE5" w:rsidRDefault="000D3AE5" w:rsidP="006A2D41">
      <w:r>
        <w:t xml:space="preserve">The Aging Well PA assessors complete the initial FED. They use the FED tool to do this. </w:t>
      </w:r>
    </w:p>
    <w:p w14:paraId="767A7AF3" w14:textId="77777777" w:rsidR="000D3AE5" w:rsidRDefault="000D3AE5" w:rsidP="006A2D41">
      <w:r>
        <w:t>If the Aging Well PA assessor concludes that the person is NFCE, the IEB completes enrollment.</w:t>
      </w:r>
    </w:p>
    <w:p w14:paraId="4B04A141" w14:textId="77777777" w:rsidR="000D3AE5" w:rsidRDefault="000D3AE5" w:rsidP="006A2D41">
      <w:pPr>
        <w:rPr>
          <w:rFonts w:ascii="Microsoft Sans Serif" w:hAnsi="Microsoft Sans Serif" w:cs="Microsoft Sans Serif"/>
          <w:sz w:val="17"/>
          <w:szCs w:val="17"/>
        </w:rPr>
      </w:pPr>
      <w:r>
        <w:lastRenderedPageBreak/>
        <w:t xml:space="preserve">The participant chooses an MCO. The MCO Service Coordinator (MCO-SC) develops the Person-Centered Service Plan (PCSP). The participant then chooses providers. </w:t>
      </w:r>
    </w:p>
    <w:p w14:paraId="3D45176D" w14:textId="37AFBFDC" w:rsidR="001F27F4" w:rsidRDefault="000D3AE5" w:rsidP="00004301">
      <w:pPr>
        <w:pStyle w:val="Heading3"/>
      </w:pPr>
      <w:bookmarkStart w:id="12" w:name="_Toc233297982"/>
      <w:r>
        <w:t>Consistency</w:t>
      </w:r>
      <w:bookmarkEnd w:id="12"/>
    </w:p>
    <w:p w14:paraId="389D3382" w14:textId="77777777" w:rsidR="000D3AE5" w:rsidRDefault="000D3AE5" w:rsidP="006A2D41">
      <w:r>
        <w:t>To ensure consistency of needs assessments and of eligibility determinations, all assessors at all organizations must perform and code assessments objectively and precisely, using the same definitions and coding standards. This comes into play after the initial assessment for eligibility.</w:t>
      </w:r>
    </w:p>
    <w:p w14:paraId="51A88809" w14:textId="77777777" w:rsidR="000D3AE5" w:rsidRDefault="000D3AE5" w:rsidP="006A2D41">
      <w:pPr>
        <w:rPr>
          <w:rFonts w:ascii="Microsoft Sans Serif" w:hAnsi="Microsoft Sans Serif" w:cs="Microsoft Sans Serif"/>
          <w:sz w:val="17"/>
          <w:szCs w:val="17"/>
        </w:rPr>
      </w:pPr>
      <w:r>
        <w:t>Aging Well PA and service coordinators are both involved in continuing eligibility when a person is reassessed. Reassessment happens 365 days from the date of the last assessment, the FED, at the participant’s request, or if there is a triggering event. A triggering event could be medical or functional. The event is something that changes the current level of need and care determination.</w:t>
      </w:r>
    </w:p>
    <w:p w14:paraId="0F4F49C7" w14:textId="6DB17874" w:rsidR="001F27F4" w:rsidRDefault="000D3AE5" w:rsidP="00004301">
      <w:pPr>
        <w:pStyle w:val="Heading3"/>
      </w:pPr>
      <w:bookmarkStart w:id="13" w:name="_Toc233297983"/>
      <w:r>
        <w:t>Reassessment Process</w:t>
      </w:r>
      <w:bookmarkEnd w:id="13"/>
    </w:p>
    <w:p w14:paraId="2C370665" w14:textId="77777777" w:rsidR="000D3AE5" w:rsidRDefault="000D3AE5" w:rsidP="006A2D41">
      <w:r>
        <w:t xml:space="preserve">The reassessment process begins when the MCO completes a comprehensive needs assessment using the interRAI tool. </w:t>
      </w:r>
    </w:p>
    <w:p w14:paraId="6916BA73" w14:textId="77777777" w:rsidR="000D3AE5" w:rsidRDefault="000D3AE5" w:rsidP="006A2D41">
      <w:r>
        <w:t>Once the assessment is finalized, the MCO uploads the assessment results into the Pennsylvania Individualized Assessment (PIA) system.</w:t>
      </w:r>
    </w:p>
    <w:p w14:paraId="024AC5A9" w14:textId="77777777" w:rsidR="000D3AE5" w:rsidRDefault="000D3AE5" w:rsidP="006A2D41">
      <w:r>
        <w:t>When the upload is complete, the system notifies Aging Well PA with the MCO’s FED data and its results from the interRAI.</w:t>
      </w:r>
    </w:p>
    <w:p w14:paraId="18F6ACF4" w14:textId="77777777" w:rsidR="000D3AE5" w:rsidRDefault="000D3AE5" w:rsidP="006A2D41">
      <w:r>
        <w:t>Next, the Aging Well PA assessor compares the MCO’s FED data with the previous FED to verify the participant’s current level of care. Please note that Aging Well PA assessors have access to FED data from the two most recent interRAI assessments.</w:t>
      </w:r>
    </w:p>
    <w:p w14:paraId="5A94881B" w14:textId="77777777" w:rsidR="000D3AE5" w:rsidRDefault="000D3AE5" w:rsidP="006A2D41">
      <w:r>
        <w:t>If the person is assessed to be NFCE, the individual continues to receive services.</w:t>
      </w:r>
    </w:p>
    <w:p w14:paraId="3497E516" w14:textId="77777777" w:rsidR="000D3AE5" w:rsidRDefault="000D3AE5" w:rsidP="006A2D41">
      <w:r>
        <w:t>If the person is assessed as Nursing Facility Ineligible (NFI), Aging Well PA notifies the MCO that a new physician certification (MA-570) and supporting documents are required.</w:t>
      </w:r>
    </w:p>
    <w:p w14:paraId="1D103B41" w14:textId="77777777" w:rsidR="000D3AE5" w:rsidRDefault="000D3AE5" w:rsidP="006A2D41">
      <w:r>
        <w:t xml:space="preserve">If the MA-570 physician certification is not received within 60 days, a new FED request is sent to Aging Well PA. </w:t>
      </w:r>
    </w:p>
    <w:p w14:paraId="1D865346" w14:textId="77777777" w:rsidR="000D3AE5" w:rsidRDefault="000D3AE5" w:rsidP="006A2D41">
      <w:r>
        <w:t>All submitted materials, including the MA-570, new FED, and supporting records, are then reviewed by the OLTL clinical review team. They conduct the final review and determine the individual’s level of care outcome.</w:t>
      </w:r>
    </w:p>
    <w:p w14:paraId="2D4BB07E" w14:textId="77777777" w:rsidR="000D3AE5" w:rsidRDefault="000D3AE5" w:rsidP="006A2D41">
      <w:r>
        <w:t>If the outcome is NFCE, the individual remains enrolled in Community HealthChoices (CHC) and does not go through the NFI disenrollment process.</w:t>
      </w:r>
    </w:p>
    <w:p w14:paraId="6CEFD606" w14:textId="77777777" w:rsidR="000D3AE5" w:rsidRDefault="000D3AE5" w:rsidP="006A2D41">
      <w:r>
        <w:lastRenderedPageBreak/>
        <w:t>If the outcome is NFI, the case proceeds through the NFI disenrollment process. If the outcomes of assessments from physicians and assessors differ, the case goes to the clinical review team and the OLTL medical director.</w:t>
      </w:r>
    </w:p>
    <w:p w14:paraId="40405074" w14:textId="77777777" w:rsidR="000D3AE5" w:rsidRDefault="000D3AE5" w:rsidP="006A2D41">
      <w:pPr>
        <w:rPr>
          <w:rFonts w:ascii="Microsoft Sans Serif" w:hAnsi="Microsoft Sans Serif" w:cs="Microsoft Sans Serif"/>
          <w:sz w:val="17"/>
          <w:szCs w:val="17"/>
        </w:rPr>
      </w:pPr>
      <w:r>
        <w:t>It’s important to note that the clinical review team are the only reviewers who have access to certain clinical details, specifically, the PCSP, notes, and the two most recent interRAI assessments, after the MA-570 has been received.</w:t>
      </w:r>
    </w:p>
    <w:p w14:paraId="0E5C5AEC" w14:textId="7948336E" w:rsidR="001F27F4" w:rsidRDefault="000D3AE5" w:rsidP="00004301">
      <w:pPr>
        <w:pStyle w:val="Heading2"/>
      </w:pPr>
      <w:bookmarkStart w:id="14" w:name="_Toc233297984"/>
      <w:r>
        <w:t>FED &amp; interRAI Comprehensive Needs Assessment Overview</w:t>
      </w:r>
      <w:bookmarkEnd w:id="14"/>
    </w:p>
    <w:p w14:paraId="5A20C53D" w14:textId="77777777" w:rsidR="000D3AE5" w:rsidRDefault="000D3AE5" w:rsidP="006A2D41">
      <w:pPr>
        <w:rPr>
          <w:rFonts w:ascii="Microsoft Sans Serif" w:hAnsi="Microsoft Sans Serif" w:cs="Microsoft Sans Serif"/>
          <w:sz w:val="17"/>
          <w:szCs w:val="17"/>
        </w:rPr>
      </w:pPr>
      <w:r>
        <w:t>Next, let’s review the FED and interRAI Comprehensive Needs Assessment.</w:t>
      </w:r>
    </w:p>
    <w:p w14:paraId="25516B87" w14:textId="1471F357" w:rsidR="001F27F4" w:rsidRDefault="000D3AE5" w:rsidP="00004301">
      <w:pPr>
        <w:pStyle w:val="Heading3"/>
      </w:pPr>
      <w:bookmarkStart w:id="15" w:name="_Toc233297985"/>
      <w:r>
        <w:t>FED and interRAI Overview</w:t>
      </w:r>
      <w:bookmarkEnd w:id="15"/>
    </w:p>
    <w:p w14:paraId="5E307724" w14:textId="77777777" w:rsidR="000D3AE5" w:rsidRDefault="000D3AE5" w:rsidP="006A2D41">
      <w:r>
        <w:t>Service coordinators have an important role in the continued eligibility of individuals on the Home and Community-Based Services (HCBS) waivers.</w:t>
      </w:r>
    </w:p>
    <w:p w14:paraId="2B883710" w14:textId="77777777" w:rsidR="000D3AE5" w:rsidRDefault="000D3AE5" w:rsidP="006A2D41">
      <w:r>
        <w:t>The completion of the FED portion of the interRAI assessment determines continued eligibility on the HCBS waiver.</w:t>
      </w:r>
    </w:p>
    <w:p w14:paraId="75EC2023" w14:textId="77777777" w:rsidR="000D3AE5" w:rsidRDefault="000D3AE5" w:rsidP="006A2D41">
      <w:r>
        <w:t>Upon submission of an interRAI assessment, the Aging Well PA assessor reviews the assessment, and unless a new FED is required, it is then certified by the clinical review team and the medical director.</w:t>
      </w:r>
    </w:p>
    <w:p w14:paraId="6E2C8495" w14:textId="77777777" w:rsidR="000D3AE5" w:rsidRDefault="000D3AE5" w:rsidP="006A2D41">
      <w:pPr>
        <w:rPr>
          <w:rFonts w:ascii="Microsoft Sans Serif" w:hAnsi="Microsoft Sans Serif" w:cs="Microsoft Sans Serif"/>
          <w:sz w:val="17"/>
          <w:szCs w:val="17"/>
        </w:rPr>
      </w:pPr>
      <w:r>
        <w:t>To avoid any potential disruption in care, it’s imperative that assessments are precise in determining when an individual’s condition has improved to the extent that they no longer meet the state’s eligibility requirements. Notes and documentation are required for the clinical review team and the medical director reviews.</w:t>
      </w:r>
    </w:p>
    <w:p w14:paraId="0FD4765F" w14:textId="53CC9346" w:rsidR="001F27F4" w:rsidRDefault="000D3AE5" w:rsidP="00004301">
      <w:pPr>
        <w:pStyle w:val="Heading3"/>
      </w:pPr>
      <w:bookmarkStart w:id="16" w:name="_Toc233297986"/>
      <w:r>
        <w:t>interRAI Instrument</w:t>
      </w:r>
      <w:bookmarkEnd w:id="16"/>
    </w:p>
    <w:p w14:paraId="24EE8E09" w14:textId="77777777" w:rsidR="000D3AE5" w:rsidRDefault="000D3AE5" w:rsidP="006A2D41">
      <w:r>
        <w:t xml:space="preserve">Pennsylvania uses the interRAI Home Care Instrument. It is a standardized, minimal assessment and screening tool designed for clinical use. </w:t>
      </w:r>
    </w:p>
    <w:p w14:paraId="17E6EBC4" w14:textId="77777777" w:rsidR="000D3AE5" w:rsidRDefault="000D3AE5" w:rsidP="006A2D41">
      <w:r>
        <w:t>It does not include all of the information that might be necessary to construct a comprehensive plan of care.</w:t>
      </w:r>
    </w:p>
    <w:p w14:paraId="4CDD7266" w14:textId="77777777" w:rsidR="000D3AE5" w:rsidRDefault="000D3AE5" w:rsidP="006A2D41">
      <w:r>
        <w:t xml:space="preserve">Supplemental information relevant to the person, such as caregiver and family input and medical records, should be assessed and incorporated as necessary. The items in the interRAI measure a person's objective performance in a variety of areas. </w:t>
      </w:r>
    </w:p>
    <w:p w14:paraId="08E32331" w14:textId="77777777" w:rsidR="000D3AE5" w:rsidRDefault="000D3AE5" w:rsidP="006A2D41">
      <w:pPr>
        <w:rPr>
          <w:rFonts w:ascii="Microsoft Sans Serif" w:hAnsi="Microsoft Sans Serif" w:cs="Microsoft Sans Serif"/>
          <w:sz w:val="17"/>
          <w:szCs w:val="17"/>
        </w:rPr>
      </w:pPr>
      <w:r>
        <w:t>Functional eligibility determination items are in the interRAI Home Care Assessment. All other interRAI items are used to assist in developing person-centered service plans.</w:t>
      </w:r>
    </w:p>
    <w:p w14:paraId="332EEF77" w14:textId="0399CA6B" w:rsidR="001F27F4" w:rsidRDefault="000D3AE5" w:rsidP="00004301">
      <w:pPr>
        <w:pStyle w:val="Heading3"/>
      </w:pPr>
      <w:bookmarkStart w:id="17" w:name="_Toc233297987"/>
      <w:r>
        <w:t>The interRAI Home Care Assessment System</w:t>
      </w:r>
      <w:bookmarkEnd w:id="17"/>
    </w:p>
    <w:p w14:paraId="52967BA9" w14:textId="77777777" w:rsidR="000D3AE5" w:rsidRDefault="000D3AE5" w:rsidP="006A2D41">
      <w:pPr>
        <w:rPr>
          <w:rFonts w:ascii="Microsoft Sans Serif" w:hAnsi="Microsoft Sans Serif" w:cs="Microsoft Sans Serif"/>
          <w:sz w:val="17"/>
          <w:szCs w:val="17"/>
        </w:rPr>
      </w:pPr>
      <w:r>
        <w:t xml:space="preserve">The interRAI Home Care Assessment System has been designed to be a user-friendly, reliable method to inform and guide comprehensive planning of services and supports in </w:t>
      </w:r>
      <w:r>
        <w:lastRenderedPageBreak/>
        <w:t>community-based settings around the world. It focuses on the person’s functioning and quality of life by assessing needs, strengths, and preferences. When used on multiple occasions, it provides the basis for an outcome-based assessment of the person’s response to care or assistance.</w:t>
      </w:r>
    </w:p>
    <w:p w14:paraId="5C43B12E" w14:textId="6D77D6D3" w:rsidR="001F27F4" w:rsidRDefault="000D3AE5" w:rsidP="00004301">
      <w:pPr>
        <w:pStyle w:val="Heading3"/>
      </w:pPr>
      <w:bookmarkStart w:id="18" w:name="_Toc233297988"/>
      <w:r>
        <w:t>Using the interRAI Assessment System</w:t>
      </w:r>
      <w:bookmarkEnd w:id="18"/>
    </w:p>
    <w:p w14:paraId="038FC33D" w14:textId="77777777" w:rsidR="000D3AE5" w:rsidRDefault="000D3AE5" w:rsidP="006A2D41">
      <w:r>
        <w:t>The interRAI is a standardized, minimal assessment tool designed for clinical use. It is not a questionnaire. There are only a small number of items that are designed as direct questions to be answered only by the person being assessed.</w:t>
      </w:r>
    </w:p>
    <w:p w14:paraId="1BE993FC" w14:textId="77777777" w:rsidR="000D3AE5" w:rsidRDefault="000D3AE5" w:rsidP="006A2D41">
      <w:r>
        <w:t>The expectation is that the assessor or service coordinator will enter into a direct conversation with the person, focusing on gathering information on the characteristics identified in the interRAI Version 10 Home Care Assessment System. Through this, a broad view of the person will emerge.</w:t>
      </w:r>
    </w:p>
    <w:p w14:paraId="04542E35" w14:textId="77777777" w:rsidR="000D3AE5" w:rsidRDefault="000D3AE5" w:rsidP="006A2D41">
      <w:pPr>
        <w:rPr>
          <w:rFonts w:ascii="Microsoft Sans Serif" w:hAnsi="Microsoft Sans Serif" w:cs="Microsoft Sans Serif"/>
          <w:sz w:val="17"/>
          <w:szCs w:val="17"/>
        </w:rPr>
      </w:pPr>
      <w:r>
        <w:t>The process is a conversation, not an interrogation. FED assessors and SCs are expected to use conversational and motivational interviewing techniques to gather information.</w:t>
      </w:r>
    </w:p>
    <w:p w14:paraId="60030A1F" w14:textId="2C20C804" w:rsidR="001F27F4" w:rsidRDefault="000D3AE5" w:rsidP="00004301">
      <w:pPr>
        <w:pStyle w:val="Heading3"/>
      </w:pPr>
      <w:bookmarkStart w:id="19" w:name="_Toc233297989"/>
      <w:r>
        <w:t>Key Points for Completing the interRAI</w:t>
      </w:r>
      <w:bookmarkEnd w:id="19"/>
    </w:p>
    <w:p w14:paraId="048940E5" w14:textId="77777777" w:rsidR="000D3AE5" w:rsidRDefault="000D3AE5" w:rsidP="006A2D41">
      <w:r>
        <w:t>There are several key points regarding completion of the interRAI Home Care Assessment.</w:t>
      </w:r>
    </w:p>
    <w:p w14:paraId="7A54E639" w14:textId="4F5F1A87" w:rsidR="00316F2E" w:rsidRPr="00316F2E" w:rsidRDefault="00316F2E" w:rsidP="00316F2E">
      <w:pPr>
        <w:pStyle w:val="Heading4"/>
      </w:pPr>
      <w:r w:rsidRPr="00316F2E">
        <w:t>Point 1</w:t>
      </w:r>
    </w:p>
    <w:p w14:paraId="5A93161C" w14:textId="77777777" w:rsidR="00316F2E" w:rsidRDefault="00316F2E" w:rsidP="00316F2E">
      <w:r>
        <w:t>The assessment process requires communication with the person and primary caregiver and family member (if available), observation of the person in the home environment, and a review of secondary documents when available.</w:t>
      </w:r>
    </w:p>
    <w:p w14:paraId="303909D6" w14:textId="1A58BD61" w:rsidR="00552866" w:rsidRDefault="00316F2E" w:rsidP="00316F2E">
      <w:r>
        <w:t>Where possible, the person is the primary source of information.</w:t>
      </w:r>
    </w:p>
    <w:p w14:paraId="5B0C7815" w14:textId="2839CCAA" w:rsidR="001F27F4" w:rsidRDefault="00316F2E" w:rsidP="00316F2E">
      <w:pPr>
        <w:pStyle w:val="Heading4"/>
      </w:pPr>
      <w:r>
        <w:t>Point 2</w:t>
      </w:r>
    </w:p>
    <w:p w14:paraId="24E724F0" w14:textId="77777777" w:rsidR="00316F2E" w:rsidRDefault="00316F2E" w:rsidP="00316F2E">
      <w:r>
        <w:t>The interRAI Version 10 manual defines each item and possible response choices, and it outlines a process for eliciting the required information.</w:t>
      </w:r>
    </w:p>
    <w:p w14:paraId="322D59C4" w14:textId="77777777" w:rsidR="00316F2E" w:rsidRDefault="00316F2E" w:rsidP="00316F2E">
      <w:r>
        <w:t>Assessors should use the manual and familiarize themselves with the content.</w:t>
      </w:r>
    </w:p>
    <w:p w14:paraId="0A3E9BDB" w14:textId="01511A08" w:rsidR="001F27F4" w:rsidRDefault="00316F2E" w:rsidP="00316F2E">
      <w:r>
        <w:t>Focusing on the intent of the item will help assessors to select the appropriate coding response.</w:t>
      </w:r>
    </w:p>
    <w:p w14:paraId="38BA97BD" w14:textId="3AA9B0DE" w:rsidR="00316F2E" w:rsidRDefault="00316F2E" w:rsidP="00316F2E">
      <w:pPr>
        <w:pStyle w:val="Heading4"/>
      </w:pPr>
      <w:r>
        <w:t>Point 3</w:t>
      </w:r>
    </w:p>
    <w:p w14:paraId="096DF356" w14:textId="77777777" w:rsidR="00316F2E" w:rsidRDefault="00316F2E" w:rsidP="00316F2E">
      <w:r>
        <w:t>Items on the forms flow in a logical sequence and can be completed in the order in which they appear.</w:t>
      </w:r>
    </w:p>
    <w:p w14:paraId="50F93B83" w14:textId="2304EFE7" w:rsidR="00316F2E" w:rsidRDefault="00316F2E" w:rsidP="00316F2E">
      <w:r>
        <w:lastRenderedPageBreak/>
        <w:t>However, assessors and SCs are not bound by this sequence. Items may be reviewed in any order that works for the assessor and the person.</w:t>
      </w:r>
    </w:p>
    <w:p w14:paraId="623671EA" w14:textId="1D5704D9" w:rsidR="00316F2E" w:rsidRDefault="00316F2E" w:rsidP="00316F2E">
      <w:pPr>
        <w:pStyle w:val="Heading4"/>
      </w:pPr>
      <w:r>
        <w:t>Point 4</w:t>
      </w:r>
    </w:p>
    <w:p w14:paraId="653B109F" w14:textId="77777777" w:rsidR="00135679" w:rsidRDefault="00135679" w:rsidP="00135679">
      <w:r>
        <w:t>Sometimes the assessor must reconcile multiple sources of information yielding seemingly inconsistent results (for example, the person being assessed may report something that is very different from the response of the person’s daughter).</w:t>
      </w:r>
    </w:p>
    <w:p w14:paraId="771E81B5" w14:textId="748172FF" w:rsidR="00316F2E" w:rsidRDefault="00135679" w:rsidP="00135679">
      <w:r>
        <w:t>In this case, the assessor must use his or her clinical judgment to determine the most appropriate response for the item(s).</w:t>
      </w:r>
    </w:p>
    <w:p w14:paraId="39B4478F" w14:textId="128D08E4" w:rsidR="00316F2E" w:rsidRDefault="00135679" w:rsidP="00135679">
      <w:pPr>
        <w:pStyle w:val="Heading4"/>
      </w:pPr>
      <w:r>
        <w:t>Point 5</w:t>
      </w:r>
    </w:p>
    <w:p w14:paraId="19457591" w14:textId="77777777" w:rsidR="00135679" w:rsidRDefault="00135679" w:rsidP="00135679">
      <w:r>
        <w:t>Assessors should talk in private with each informant, if possible.</w:t>
      </w:r>
    </w:p>
    <w:p w14:paraId="6E58F2F5" w14:textId="7ED505B0" w:rsidR="00316F2E" w:rsidRDefault="00135679" w:rsidP="00135679">
      <w:r>
        <w:t>People can have family members, caregivers, and others involved if they choose to.</w:t>
      </w:r>
    </w:p>
    <w:p w14:paraId="35A98FCC" w14:textId="7062F3A6" w:rsidR="00316F2E" w:rsidRDefault="000762E3" w:rsidP="000762E3">
      <w:pPr>
        <w:pStyle w:val="Heading4"/>
      </w:pPr>
      <w:r>
        <w:t>Point 6</w:t>
      </w:r>
    </w:p>
    <w:p w14:paraId="5AD97A42" w14:textId="77777777" w:rsidR="000762E3" w:rsidRDefault="000762E3" w:rsidP="000762E3">
      <w:r>
        <w:t>Remember that you are a guest in the person’s home.</w:t>
      </w:r>
    </w:p>
    <w:p w14:paraId="3DF62396" w14:textId="77777777" w:rsidR="000762E3" w:rsidRDefault="000762E3" w:rsidP="000762E3">
      <w:r>
        <w:t>Approach the assessments in a conversational manner. The FED and the needs assessment are NOT meant to be step-by-step interrogative interviews.</w:t>
      </w:r>
    </w:p>
    <w:p w14:paraId="47D6FB8A" w14:textId="31A1E07D" w:rsidR="00135679" w:rsidRDefault="000762E3" w:rsidP="000762E3">
      <w:r>
        <w:t>Familiarity with the manual and all the questions and potential answers will help assessors to keep it conversational.</w:t>
      </w:r>
    </w:p>
    <w:p w14:paraId="0E68B3CC" w14:textId="7F5B2BB9" w:rsidR="001F27F4" w:rsidRDefault="000D3AE5" w:rsidP="006A2D41">
      <w:pPr>
        <w:pStyle w:val="Heading2"/>
      </w:pPr>
      <w:bookmarkStart w:id="20" w:name="_Toc233297990"/>
      <w:r>
        <w:t>Assessment Approaches and Best Practices</w:t>
      </w:r>
      <w:bookmarkEnd w:id="20"/>
    </w:p>
    <w:p w14:paraId="1484F965" w14:textId="77777777" w:rsidR="000D3AE5" w:rsidRDefault="000D3AE5" w:rsidP="006A2D41">
      <w:r>
        <w:t>Now, let’s move on to a review of assessment approaches and best practices.</w:t>
      </w:r>
    </w:p>
    <w:p w14:paraId="24EB8566" w14:textId="77777777" w:rsidR="000D3AE5" w:rsidRDefault="000D3AE5" w:rsidP="006A2D41">
      <w:pPr>
        <w:rPr>
          <w:rFonts w:ascii="Microsoft Sans Serif" w:hAnsi="Microsoft Sans Serif" w:cs="Microsoft Sans Serif"/>
          <w:sz w:val="17"/>
          <w:szCs w:val="17"/>
        </w:rPr>
      </w:pPr>
      <w:r>
        <w:t>This is a high-level overview.</w:t>
      </w:r>
    </w:p>
    <w:p w14:paraId="3811C693" w14:textId="2968F61F" w:rsidR="001F27F4" w:rsidRDefault="000D3AE5" w:rsidP="000762E3">
      <w:pPr>
        <w:pStyle w:val="Heading3"/>
      </w:pPr>
      <w:bookmarkStart w:id="21" w:name="_Toc233297991"/>
      <w:r>
        <w:t>Build Rapport With the Person</w:t>
      </w:r>
      <w:bookmarkEnd w:id="21"/>
    </w:p>
    <w:p w14:paraId="25B24BBD" w14:textId="77777777" w:rsidR="000D3AE5" w:rsidRDefault="000D3AE5" w:rsidP="006A2D41">
      <w:r>
        <w:t>Because the assessment process is a conversation, it is critical to build rapport with the person so that they are more comfortable talking about their lives. Some suggested ice-breaking questions include:</w:t>
      </w:r>
    </w:p>
    <w:p w14:paraId="441066C8" w14:textId="77777777" w:rsidR="000D3AE5" w:rsidRDefault="000D3AE5" w:rsidP="000762E3">
      <w:pPr>
        <w:pStyle w:val="ListParagraph"/>
        <w:numPr>
          <w:ilvl w:val="0"/>
          <w:numId w:val="3"/>
        </w:numPr>
      </w:pPr>
      <w:r>
        <w:t>“Thinking of how you are now, tell me why you sought support from this agency? Is there a time when things began to change? What happened?”</w:t>
      </w:r>
    </w:p>
    <w:p w14:paraId="4443DE53" w14:textId="77777777" w:rsidR="000D3AE5" w:rsidRDefault="000D3AE5" w:rsidP="000762E3">
      <w:pPr>
        <w:pStyle w:val="ListParagraph"/>
        <w:numPr>
          <w:ilvl w:val="0"/>
          <w:numId w:val="3"/>
        </w:numPr>
      </w:pPr>
      <w:r>
        <w:t>“What barriers do you encounter getting through the day? How do you work with any barriers you face getting through the day?”</w:t>
      </w:r>
    </w:p>
    <w:p w14:paraId="7AB4DD8E" w14:textId="77777777" w:rsidR="000D3AE5" w:rsidRDefault="000D3AE5" w:rsidP="000762E3">
      <w:pPr>
        <w:pStyle w:val="ListParagraph"/>
        <w:numPr>
          <w:ilvl w:val="0"/>
          <w:numId w:val="3"/>
        </w:numPr>
      </w:pPr>
      <w:r>
        <w:t>“How do you make meals?”</w:t>
      </w:r>
    </w:p>
    <w:p w14:paraId="07A494C3" w14:textId="77777777" w:rsidR="000D3AE5" w:rsidRDefault="000D3AE5" w:rsidP="000762E3">
      <w:pPr>
        <w:pStyle w:val="ListParagraph"/>
        <w:numPr>
          <w:ilvl w:val="0"/>
          <w:numId w:val="3"/>
        </w:numPr>
      </w:pPr>
      <w:r>
        <w:t>“Is getting bathed and dressed as easy as it used to be?”</w:t>
      </w:r>
    </w:p>
    <w:p w14:paraId="4FEBC033" w14:textId="77777777" w:rsidR="000D3AE5" w:rsidRDefault="000D3AE5" w:rsidP="000762E3">
      <w:pPr>
        <w:pStyle w:val="ListParagraph"/>
        <w:numPr>
          <w:ilvl w:val="0"/>
          <w:numId w:val="3"/>
        </w:numPr>
      </w:pPr>
      <w:r>
        <w:t>“How do you perceive your present health as compared to a year ago (or when last seen)?”</w:t>
      </w:r>
    </w:p>
    <w:p w14:paraId="223949AF" w14:textId="77777777" w:rsidR="000D3AE5" w:rsidRDefault="000D3AE5" w:rsidP="000762E3">
      <w:pPr>
        <w:pStyle w:val="ListParagraph"/>
        <w:numPr>
          <w:ilvl w:val="0"/>
          <w:numId w:val="3"/>
        </w:numPr>
      </w:pPr>
      <w:r>
        <w:lastRenderedPageBreak/>
        <w:t>“Do you feel well enough to do what you want to do?”</w:t>
      </w:r>
    </w:p>
    <w:p w14:paraId="0ACC7A4C" w14:textId="77777777" w:rsidR="000D3AE5" w:rsidRDefault="000D3AE5" w:rsidP="000762E3">
      <w:pPr>
        <w:pStyle w:val="ListParagraph"/>
        <w:numPr>
          <w:ilvl w:val="0"/>
          <w:numId w:val="3"/>
        </w:numPr>
      </w:pPr>
      <w:r>
        <w:t>“Can you do the things that you want to do?”</w:t>
      </w:r>
    </w:p>
    <w:p w14:paraId="617C602B" w14:textId="77777777" w:rsidR="000D3AE5" w:rsidRDefault="000D3AE5" w:rsidP="000762E3">
      <w:pPr>
        <w:pStyle w:val="ListParagraph"/>
        <w:numPr>
          <w:ilvl w:val="0"/>
          <w:numId w:val="3"/>
        </w:numPr>
      </w:pPr>
      <w:r>
        <w:t>“What type of assistance or services do you receive or need?”</w:t>
      </w:r>
    </w:p>
    <w:p w14:paraId="4CC71428" w14:textId="77777777" w:rsidR="000D3AE5" w:rsidRDefault="000D3AE5" w:rsidP="006A2D41">
      <w:pPr>
        <w:rPr>
          <w:rFonts w:ascii="Microsoft Sans Serif" w:hAnsi="Microsoft Sans Serif" w:cs="Microsoft Sans Serif"/>
          <w:sz w:val="17"/>
          <w:szCs w:val="17"/>
        </w:rPr>
      </w:pPr>
      <w:r>
        <w:t>Please keep in mind that this is not a questionnaire. Meet the person where they are. Ask broader questions to encourage conversation. Apply those answers to the form based on the definitions in the interRAI manual. The more comfortable assessors and SCs are with the manual and coding elements, the easier it will be to use a conversational, supportive approach.</w:t>
      </w:r>
    </w:p>
    <w:p w14:paraId="6E2F967D" w14:textId="74ADF7DF" w:rsidR="001F27F4" w:rsidRDefault="000D3AE5" w:rsidP="000762E3">
      <w:pPr>
        <w:pStyle w:val="Heading3"/>
      </w:pPr>
      <w:bookmarkStart w:id="22" w:name="_Toc233297992"/>
      <w:r>
        <w:t>Person’s Expected Goals of Care</w:t>
      </w:r>
      <w:bookmarkEnd w:id="22"/>
    </w:p>
    <w:p w14:paraId="778DC2F8" w14:textId="77777777" w:rsidR="000D3AE5" w:rsidRDefault="000D3AE5" w:rsidP="006A2D41">
      <w:r>
        <w:t>It is essential to ask the person being assessed to identify what his or her goals of care might be. By doing so, the assessor encourages the person to be an active member of the healthcare team. It opens a channel of communication to help the assessor better understand what the person expects or hopes to experience as a home care client. Because the person’s view may change over time, this item is included both in the initial and in subsequent reassessments.</w:t>
      </w:r>
    </w:p>
    <w:p w14:paraId="2EFE786F" w14:textId="77777777" w:rsidR="000D3AE5" w:rsidRDefault="000D3AE5" w:rsidP="006A2D41">
      <w:r>
        <w:t>Use this box to document outcomes that the person hopes to achieve as a result of receiving assistance. These outcomes may relate to almost anything, including improved functional performance, a return to health, increased independence, an ability to maintain community residence, improved social relations, engagement in community activities, participation in activities that they used to enjoy, etc.</w:t>
      </w:r>
    </w:p>
    <w:p w14:paraId="1D65312C" w14:textId="77777777" w:rsidR="000D3AE5" w:rsidRDefault="000D3AE5" w:rsidP="006A2D41">
      <w:r>
        <w:t>You can frame the conversation around the two aspects of goals:</w:t>
      </w:r>
    </w:p>
    <w:p w14:paraId="4E1C1AB5" w14:textId="2E0115F9" w:rsidR="000D3AE5" w:rsidRDefault="000D3AE5" w:rsidP="000762E3">
      <w:pPr>
        <w:pStyle w:val="ListParagraph"/>
        <w:numPr>
          <w:ilvl w:val="0"/>
          <w:numId w:val="3"/>
        </w:numPr>
      </w:pPr>
      <w:r>
        <w:t xml:space="preserve">Macro goals </w:t>
      </w:r>
      <w:r w:rsidR="00110A77">
        <w:t>–</w:t>
      </w:r>
      <w:r>
        <w:t xml:space="preserve"> such as socializing, taking classes, avoiding facility placement, and participating in community events.</w:t>
      </w:r>
    </w:p>
    <w:p w14:paraId="273974A9" w14:textId="318B0B36" w:rsidR="000D3AE5" w:rsidRDefault="000D3AE5" w:rsidP="000762E3">
      <w:pPr>
        <w:pStyle w:val="ListParagraph"/>
        <w:numPr>
          <w:ilvl w:val="0"/>
          <w:numId w:val="3"/>
        </w:numPr>
      </w:pPr>
      <w:r>
        <w:t xml:space="preserve">Micro goals </w:t>
      </w:r>
      <w:r w:rsidR="00110A77">
        <w:t xml:space="preserve">– </w:t>
      </w:r>
      <w:r>
        <w:t>which refer to activities of daily living such as eating, going to the toilet, dressing, etc.</w:t>
      </w:r>
    </w:p>
    <w:p w14:paraId="64094BFC" w14:textId="77777777" w:rsidR="000D3AE5" w:rsidRDefault="000D3AE5" w:rsidP="006A2D41">
      <w:r>
        <w:t>Talk to the person and phrase your inquiry in the most general way possible. For example, ask: “I’d like to know what led you to apply for services,” “What benefits do you expect to get from this program?” “Tell me about changes in yourself you hope will occur.” Encourage the person to express personal goals in his or her own words. Ask leading questions about their desire to get out of the house, feel more confident with their own independence, participating in community events, etc.</w:t>
      </w:r>
    </w:p>
    <w:p w14:paraId="61851970" w14:textId="77777777" w:rsidR="000D3AE5" w:rsidRDefault="000D3AE5" w:rsidP="006A2D41">
      <w:pPr>
        <w:rPr>
          <w:rFonts w:ascii="Microsoft Sans Serif" w:hAnsi="Microsoft Sans Serif" w:cs="Microsoft Sans Serif"/>
          <w:sz w:val="17"/>
          <w:szCs w:val="17"/>
        </w:rPr>
      </w:pPr>
      <w:r>
        <w:t>When the person is done communicating their goals, it is a best practice to use reflective listening. Reflect back to the individual what you heard to ensure that what is documented accurately reflects what the individual communicated to you.</w:t>
      </w:r>
    </w:p>
    <w:p w14:paraId="5AA0DCC7" w14:textId="3013B789" w:rsidR="001F27F4" w:rsidRDefault="000D3AE5" w:rsidP="000762E3">
      <w:pPr>
        <w:pStyle w:val="Heading3"/>
      </w:pPr>
      <w:bookmarkStart w:id="23" w:name="_Toc233297993"/>
      <w:r>
        <w:t>Person’s Expected Goals of Care - Reassessments</w:t>
      </w:r>
      <w:bookmarkEnd w:id="23"/>
    </w:p>
    <w:p w14:paraId="0975C36C" w14:textId="77777777" w:rsidR="000D3AE5" w:rsidRDefault="000D3AE5" w:rsidP="006A2D41">
      <w:r>
        <w:t xml:space="preserve">On follow-up reassessments, ask: “Are you satisfied with your care experience or would you like changes in how you live or are cared for?” </w:t>
      </w:r>
    </w:p>
    <w:p w14:paraId="1B73D7B6" w14:textId="77777777" w:rsidR="000D3AE5" w:rsidRDefault="000D3AE5" w:rsidP="006A2D41">
      <w:r>
        <w:lastRenderedPageBreak/>
        <w:t>Some people will be unable to articulate a goal, an expected outcome, or even a reason for seeking services. They may say they do not know or that they are getting service at the request of a relative. All of these are reasonable responses. Do not make inferences based on what you or other clinicians believe should be goals of care. If the person asks you for clarification on what he or she might expect from services, follow your usual agency policy.</w:t>
      </w:r>
    </w:p>
    <w:p w14:paraId="670E1D34" w14:textId="77777777" w:rsidR="000D3AE5" w:rsidRDefault="000D3AE5" w:rsidP="006A2D41">
      <w:pPr>
        <w:rPr>
          <w:rFonts w:ascii="Microsoft Sans Serif" w:hAnsi="Microsoft Sans Serif" w:cs="Microsoft Sans Serif"/>
          <w:sz w:val="17"/>
          <w:szCs w:val="17"/>
        </w:rPr>
      </w:pPr>
      <w:r>
        <w:t>Use the large (“open text”) box in section A10 to record the person’s verbatim response. Code the person’s primary goal of care in the single line of boxes at the bottom, entering one letter in each box. Abbreviate if necessary. Enter “NONE” if the person is unable to articulate a goal of care.</w:t>
      </w:r>
    </w:p>
    <w:p w14:paraId="7E58243E" w14:textId="25E761B7" w:rsidR="001F27F4" w:rsidRDefault="000D3AE5" w:rsidP="000762E3">
      <w:pPr>
        <w:pStyle w:val="Heading3"/>
      </w:pPr>
      <w:bookmarkStart w:id="24" w:name="_Toc233297994"/>
      <w:r>
        <w:t>When People Cannot Provide Information</w:t>
      </w:r>
      <w:bookmarkEnd w:id="24"/>
    </w:p>
    <w:p w14:paraId="643370EE" w14:textId="77777777" w:rsidR="000D3AE5" w:rsidRDefault="000D3AE5" w:rsidP="006A2D41">
      <w:r>
        <w:t>It is generally helpful to assess the person’s cognitive status and ability to communicate early on, so that you can gauge the reliability of the information you are gathering from the person. For example, if the person has experienced hearing loss, they may be unable to hear all of what you are asking. Or, if the person has experienced brain injury or cognitive decline, communication may be challenging. If there are no designated guardians or communication support professionals, inquire about family or friends who help. Who does the person rely on to assist with decisions and with regular daily activities? With the person’s permission, those individuals can assist.</w:t>
      </w:r>
    </w:p>
    <w:p w14:paraId="67BEE47C" w14:textId="77777777" w:rsidR="000D3AE5" w:rsidRDefault="000D3AE5" w:rsidP="006A2D41">
      <w:r>
        <w:t>If the person's support system is not available on the day of the assessment to provide communication support and a broader, more accurate view of the person’s daily life, please consider scheduling a time when their support system is available. If the delay is acceptable, it will likely be worth the wait to ensure that the assessment is accurate. Reasonable efforts should be made to schedule the assessment when the person’s network of support is available to participate.</w:t>
      </w:r>
    </w:p>
    <w:p w14:paraId="219B33B0" w14:textId="77777777" w:rsidR="000D3AE5" w:rsidRDefault="000D3AE5" w:rsidP="006A2D41">
      <w:pPr>
        <w:rPr>
          <w:rFonts w:ascii="Microsoft Sans Serif" w:hAnsi="Microsoft Sans Serif" w:cs="Microsoft Sans Serif"/>
          <w:sz w:val="17"/>
          <w:szCs w:val="17"/>
        </w:rPr>
      </w:pPr>
      <w:r>
        <w:t>There is also a need to be sensitive to the person’s reaction to the assessment process and to particular issues. There is no one right order in which the sections of the interRAI Home Care Assessment should be addressed. Take your cues from the person’s responses to the “icebreaker” questions for prioritizing areas for assessment. Remember, this is not a questionnaire. The person’s needs, priorities, and goals should set the pace and priorities for the assessment process. Also, stay attuned to what the person is not saying and what they may be hiding or omitting. Observe non-verbal communication. For example, an older gentleman may not wish to disclose his actual status with mobility and continence due to a sense of pride or embarrassment. People may overestimate or underestimate their abilities.</w:t>
      </w:r>
    </w:p>
    <w:p w14:paraId="4BADCEA4" w14:textId="594FBC46" w:rsidR="001F27F4" w:rsidRDefault="000D3AE5" w:rsidP="000762E3">
      <w:pPr>
        <w:pStyle w:val="Heading3"/>
      </w:pPr>
      <w:bookmarkStart w:id="25" w:name="_Toc233297995"/>
      <w:r>
        <w:t>Order of Assessments</w:t>
      </w:r>
      <w:bookmarkEnd w:id="25"/>
    </w:p>
    <w:p w14:paraId="0CC62266" w14:textId="77777777" w:rsidR="000D3AE5" w:rsidRDefault="000D3AE5" w:rsidP="006A2D41">
      <w:r>
        <w:t>There is no right or prescribed order of conversation. Use open-ended questions and statements to foster conversation, such as:</w:t>
      </w:r>
    </w:p>
    <w:p w14:paraId="28225230" w14:textId="77777777" w:rsidR="000D3AE5" w:rsidRDefault="000D3AE5" w:rsidP="000762E3">
      <w:pPr>
        <w:pStyle w:val="ListParagraph"/>
        <w:numPr>
          <w:ilvl w:val="0"/>
          <w:numId w:val="3"/>
        </w:numPr>
      </w:pPr>
      <w:r>
        <w:t>“Tell me more about . . .”</w:t>
      </w:r>
    </w:p>
    <w:p w14:paraId="47B7B894" w14:textId="77777777" w:rsidR="000D3AE5" w:rsidRDefault="000D3AE5" w:rsidP="000762E3">
      <w:pPr>
        <w:pStyle w:val="ListParagraph"/>
        <w:numPr>
          <w:ilvl w:val="0"/>
          <w:numId w:val="3"/>
        </w:numPr>
      </w:pPr>
      <w:r>
        <w:lastRenderedPageBreak/>
        <w:t>“What led you . . .”</w:t>
      </w:r>
    </w:p>
    <w:p w14:paraId="6E30E7FE" w14:textId="77777777" w:rsidR="000D3AE5" w:rsidRDefault="000D3AE5" w:rsidP="000762E3">
      <w:pPr>
        <w:pStyle w:val="ListParagraph"/>
        <w:numPr>
          <w:ilvl w:val="0"/>
          <w:numId w:val="3"/>
        </w:numPr>
      </w:pPr>
      <w:r>
        <w:t>“Help me understand . . .”</w:t>
      </w:r>
    </w:p>
    <w:p w14:paraId="09BCE07B" w14:textId="77777777" w:rsidR="000D3AE5" w:rsidRDefault="000D3AE5" w:rsidP="006A2D41">
      <w:r>
        <w:t>Use all of your observational skills to gather information and to start conversations.</w:t>
      </w:r>
    </w:p>
    <w:p w14:paraId="2DFC8815" w14:textId="77777777" w:rsidR="000D3AE5" w:rsidRDefault="000D3AE5" w:rsidP="000762E3">
      <w:pPr>
        <w:pStyle w:val="ListParagraph"/>
        <w:numPr>
          <w:ilvl w:val="0"/>
          <w:numId w:val="3"/>
        </w:numPr>
      </w:pPr>
      <w:r>
        <w:t>How does the home smell?</w:t>
      </w:r>
    </w:p>
    <w:p w14:paraId="4BFD4659" w14:textId="77777777" w:rsidR="000D3AE5" w:rsidRDefault="000D3AE5" w:rsidP="000762E3">
      <w:pPr>
        <w:pStyle w:val="ListParagraph"/>
        <w:numPr>
          <w:ilvl w:val="0"/>
          <w:numId w:val="3"/>
        </w:numPr>
      </w:pPr>
      <w:r>
        <w:t>What items have pride of place?</w:t>
      </w:r>
    </w:p>
    <w:p w14:paraId="4E80B16D" w14:textId="77777777" w:rsidR="000D3AE5" w:rsidRDefault="000D3AE5" w:rsidP="000762E3">
      <w:pPr>
        <w:pStyle w:val="ListParagraph"/>
        <w:numPr>
          <w:ilvl w:val="0"/>
          <w:numId w:val="3"/>
        </w:numPr>
      </w:pPr>
      <w:r>
        <w:t>Is the home well-ordered?</w:t>
      </w:r>
    </w:p>
    <w:p w14:paraId="011B8753" w14:textId="77777777" w:rsidR="000D3AE5" w:rsidRDefault="000D3AE5" w:rsidP="006A2D41">
      <w:pPr>
        <w:rPr>
          <w:rFonts w:ascii="Microsoft Sans Serif" w:hAnsi="Microsoft Sans Serif" w:cs="Microsoft Sans Serif"/>
          <w:sz w:val="17"/>
          <w:szCs w:val="17"/>
        </w:rPr>
      </w:pPr>
      <w:r>
        <w:t>The interRAI manual provides guidance, sample questions, and case studies to illustrate best practices.</w:t>
      </w:r>
    </w:p>
    <w:p w14:paraId="19F15A75" w14:textId="77505557" w:rsidR="001F27F4" w:rsidRDefault="000D3AE5" w:rsidP="000762E3">
      <w:pPr>
        <w:pStyle w:val="Heading2"/>
      </w:pPr>
      <w:bookmarkStart w:id="26" w:name="_Toc233297996"/>
      <w:r>
        <w:t>FED and interRAI Elements Overview</w:t>
      </w:r>
      <w:bookmarkEnd w:id="26"/>
    </w:p>
    <w:p w14:paraId="1741D26F" w14:textId="77777777" w:rsidR="000D3AE5" w:rsidRDefault="000D3AE5" w:rsidP="006A2D41">
      <w:pPr>
        <w:rPr>
          <w:rFonts w:ascii="Microsoft Sans Serif" w:hAnsi="Microsoft Sans Serif" w:cs="Microsoft Sans Serif"/>
          <w:sz w:val="17"/>
          <w:szCs w:val="17"/>
        </w:rPr>
      </w:pPr>
      <w:r>
        <w:t>The next section moves from a review of approaches to a review of specific sections and elements of the FED and the interRAI Comprehensive Needs Assessment.</w:t>
      </w:r>
    </w:p>
    <w:p w14:paraId="5BAFE489" w14:textId="5C8D711D" w:rsidR="001F27F4" w:rsidRDefault="000D3AE5" w:rsidP="000762E3">
      <w:pPr>
        <w:pStyle w:val="Heading3"/>
      </w:pPr>
      <w:bookmarkStart w:id="27" w:name="_Toc233297997"/>
      <w:r>
        <w:t>FED and interRAI Assessments</w:t>
      </w:r>
      <w:bookmarkEnd w:id="27"/>
    </w:p>
    <w:p w14:paraId="245C69EE" w14:textId="77777777" w:rsidR="000D3AE5" w:rsidRDefault="000D3AE5" w:rsidP="006A2D41">
      <w:r>
        <w:t>Functional eligibility assessments reflect coding on a subset of elements in the full interRAI assessment. Not all of them are used in scoring for NFCE. (We’ll review the scoring matrix after we review all of the individual elements.) The FED includes:</w:t>
      </w:r>
    </w:p>
    <w:p w14:paraId="0858826A" w14:textId="77777777" w:rsidR="000D3AE5" w:rsidRDefault="000D3AE5" w:rsidP="000762E3">
      <w:pPr>
        <w:pStyle w:val="ListParagraph"/>
        <w:numPr>
          <w:ilvl w:val="0"/>
          <w:numId w:val="3"/>
        </w:numPr>
      </w:pPr>
      <w:r>
        <w:t>Identification,</w:t>
      </w:r>
    </w:p>
    <w:p w14:paraId="468FE3C4" w14:textId="77777777" w:rsidR="000D3AE5" w:rsidRDefault="000D3AE5" w:rsidP="000762E3">
      <w:pPr>
        <w:pStyle w:val="ListParagraph"/>
        <w:numPr>
          <w:ilvl w:val="0"/>
          <w:numId w:val="3"/>
        </w:numPr>
      </w:pPr>
      <w:r>
        <w:t>Cognition,</w:t>
      </w:r>
    </w:p>
    <w:p w14:paraId="1921A614" w14:textId="7E22D2ED" w:rsidR="000D3AE5" w:rsidRDefault="000D3AE5" w:rsidP="000762E3">
      <w:pPr>
        <w:pStyle w:val="ListParagraph"/>
        <w:numPr>
          <w:ilvl w:val="0"/>
          <w:numId w:val="3"/>
        </w:numPr>
      </w:pPr>
      <w:r>
        <w:t>Mood and Behavior</w:t>
      </w:r>
      <w:r w:rsidR="00466DA4">
        <w:t>,</w:t>
      </w:r>
    </w:p>
    <w:p w14:paraId="3AED18DE" w14:textId="1902C0D1" w:rsidR="000D3AE5" w:rsidRDefault="000D3AE5" w:rsidP="000762E3">
      <w:pPr>
        <w:pStyle w:val="ListParagraph"/>
        <w:numPr>
          <w:ilvl w:val="0"/>
          <w:numId w:val="3"/>
        </w:numPr>
      </w:pPr>
      <w:r>
        <w:t>Continence</w:t>
      </w:r>
      <w:r w:rsidR="00466DA4">
        <w:t>,</w:t>
      </w:r>
    </w:p>
    <w:p w14:paraId="34DFE10E" w14:textId="77777777" w:rsidR="000D3AE5" w:rsidRDefault="000D3AE5" w:rsidP="000762E3">
      <w:pPr>
        <w:pStyle w:val="ListParagraph"/>
        <w:numPr>
          <w:ilvl w:val="0"/>
          <w:numId w:val="3"/>
        </w:numPr>
      </w:pPr>
      <w:r>
        <w:t>Treatments and Procedures, and</w:t>
      </w:r>
    </w:p>
    <w:p w14:paraId="0BC998DA" w14:textId="77777777" w:rsidR="000D3AE5" w:rsidRPr="000762E3" w:rsidRDefault="000D3AE5" w:rsidP="000762E3">
      <w:pPr>
        <w:pStyle w:val="ListParagraph"/>
        <w:numPr>
          <w:ilvl w:val="0"/>
          <w:numId w:val="3"/>
        </w:numPr>
      </w:pPr>
      <w:r>
        <w:t>Functional Status.</w:t>
      </w:r>
    </w:p>
    <w:p w14:paraId="342D40A2" w14:textId="5DEE9E61" w:rsidR="001F27F4" w:rsidRDefault="000D3AE5" w:rsidP="000762E3">
      <w:pPr>
        <w:pStyle w:val="Heading3"/>
      </w:pPr>
      <w:bookmarkStart w:id="28" w:name="_Toc233297998"/>
      <w:r>
        <w:t>interRAI Additional Elements</w:t>
      </w:r>
      <w:bookmarkEnd w:id="28"/>
    </w:p>
    <w:p w14:paraId="0953603C" w14:textId="77777777" w:rsidR="000D3AE5" w:rsidRDefault="000D3AE5" w:rsidP="006A2D41">
      <w:r>
        <w:t>The interRAI Assessment tool includes elements beyond basic eligibility determinations, including:</w:t>
      </w:r>
    </w:p>
    <w:p w14:paraId="5E9F96D1" w14:textId="77777777" w:rsidR="000D3AE5" w:rsidRDefault="000D3AE5" w:rsidP="000762E3">
      <w:pPr>
        <w:pStyle w:val="ListParagraph"/>
        <w:numPr>
          <w:ilvl w:val="0"/>
          <w:numId w:val="3"/>
        </w:numPr>
      </w:pPr>
      <w:r>
        <w:t>Communication and Vision,</w:t>
      </w:r>
    </w:p>
    <w:p w14:paraId="2B69B288" w14:textId="77777777" w:rsidR="000D3AE5" w:rsidRDefault="000D3AE5" w:rsidP="000762E3">
      <w:pPr>
        <w:pStyle w:val="ListParagraph"/>
        <w:numPr>
          <w:ilvl w:val="0"/>
          <w:numId w:val="3"/>
        </w:numPr>
      </w:pPr>
      <w:r>
        <w:t>Psychological Well-Being,</w:t>
      </w:r>
    </w:p>
    <w:p w14:paraId="10F2E6BF" w14:textId="77777777" w:rsidR="000D3AE5" w:rsidRDefault="000D3AE5" w:rsidP="000762E3">
      <w:pPr>
        <w:pStyle w:val="ListParagraph"/>
        <w:numPr>
          <w:ilvl w:val="0"/>
          <w:numId w:val="3"/>
        </w:numPr>
      </w:pPr>
      <w:r>
        <w:t>Disease Diagnosis,</w:t>
      </w:r>
    </w:p>
    <w:p w14:paraId="518AF0F9" w14:textId="77777777" w:rsidR="000D3AE5" w:rsidRDefault="000D3AE5" w:rsidP="000762E3">
      <w:pPr>
        <w:pStyle w:val="ListParagraph"/>
        <w:numPr>
          <w:ilvl w:val="0"/>
          <w:numId w:val="3"/>
        </w:numPr>
      </w:pPr>
      <w:r>
        <w:t>Health Conditions,</w:t>
      </w:r>
    </w:p>
    <w:p w14:paraId="5A4B5427" w14:textId="77777777" w:rsidR="000D3AE5" w:rsidRDefault="000D3AE5" w:rsidP="000762E3">
      <w:pPr>
        <w:pStyle w:val="ListParagraph"/>
        <w:numPr>
          <w:ilvl w:val="0"/>
          <w:numId w:val="3"/>
        </w:numPr>
      </w:pPr>
      <w:r>
        <w:t>Oral and Nutritional Status,</w:t>
      </w:r>
    </w:p>
    <w:p w14:paraId="16E831E4" w14:textId="77777777" w:rsidR="000D3AE5" w:rsidRDefault="000D3AE5" w:rsidP="000762E3">
      <w:pPr>
        <w:pStyle w:val="ListParagraph"/>
        <w:numPr>
          <w:ilvl w:val="0"/>
          <w:numId w:val="3"/>
        </w:numPr>
      </w:pPr>
      <w:r>
        <w:t>Instrumental Activities of Daily Living,</w:t>
      </w:r>
    </w:p>
    <w:p w14:paraId="64CEA382" w14:textId="77777777" w:rsidR="000D3AE5" w:rsidRDefault="000D3AE5" w:rsidP="000762E3">
      <w:pPr>
        <w:pStyle w:val="ListParagraph"/>
        <w:numPr>
          <w:ilvl w:val="0"/>
          <w:numId w:val="3"/>
        </w:numPr>
      </w:pPr>
      <w:r>
        <w:t>Skin Condition,</w:t>
      </w:r>
    </w:p>
    <w:p w14:paraId="6663AE75" w14:textId="77777777" w:rsidR="000D3AE5" w:rsidRDefault="000D3AE5" w:rsidP="000762E3">
      <w:pPr>
        <w:pStyle w:val="ListParagraph"/>
        <w:numPr>
          <w:ilvl w:val="0"/>
          <w:numId w:val="3"/>
        </w:numPr>
      </w:pPr>
      <w:r>
        <w:t>Medications,</w:t>
      </w:r>
    </w:p>
    <w:p w14:paraId="19289E7D" w14:textId="77777777" w:rsidR="000D3AE5" w:rsidRDefault="000D3AE5" w:rsidP="000762E3">
      <w:pPr>
        <w:pStyle w:val="ListParagraph"/>
        <w:numPr>
          <w:ilvl w:val="0"/>
          <w:numId w:val="3"/>
        </w:numPr>
      </w:pPr>
      <w:r>
        <w:t>Responsibility,</w:t>
      </w:r>
    </w:p>
    <w:p w14:paraId="4654EF09" w14:textId="77777777" w:rsidR="000D3AE5" w:rsidRDefault="000D3AE5" w:rsidP="000762E3">
      <w:pPr>
        <w:pStyle w:val="ListParagraph"/>
        <w:numPr>
          <w:ilvl w:val="0"/>
          <w:numId w:val="3"/>
        </w:numPr>
      </w:pPr>
      <w:r>
        <w:t>Social Supports,</w:t>
      </w:r>
    </w:p>
    <w:p w14:paraId="43630D01" w14:textId="77777777" w:rsidR="000D3AE5" w:rsidRDefault="000D3AE5" w:rsidP="000762E3">
      <w:pPr>
        <w:pStyle w:val="ListParagraph"/>
        <w:numPr>
          <w:ilvl w:val="0"/>
          <w:numId w:val="3"/>
        </w:numPr>
      </w:pPr>
      <w:r>
        <w:t>Environmental Assessment,</w:t>
      </w:r>
    </w:p>
    <w:p w14:paraId="49F6A5F2" w14:textId="77777777" w:rsidR="000D3AE5" w:rsidRDefault="000D3AE5" w:rsidP="000762E3">
      <w:pPr>
        <w:pStyle w:val="ListParagraph"/>
        <w:numPr>
          <w:ilvl w:val="0"/>
          <w:numId w:val="3"/>
        </w:numPr>
      </w:pPr>
      <w:r>
        <w:lastRenderedPageBreak/>
        <w:t>Discharge and Potential Overall Status,</w:t>
      </w:r>
    </w:p>
    <w:p w14:paraId="164912CD" w14:textId="77777777" w:rsidR="000D3AE5" w:rsidRDefault="000D3AE5" w:rsidP="000762E3">
      <w:pPr>
        <w:pStyle w:val="ListParagraph"/>
        <w:numPr>
          <w:ilvl w:val="0"/>
          <w:numId w:val="3"/>
        </w:numPr>
      </w:pPr>
      <w:r>
        <w:t>Discharge, and</w:t>
      </w:r>
    </w:p>
    <w:p w14:paraId="0C630CCE" w14:textId="77777777" w:rsidR="000D3AE5" w:rsidRPr="000762E3" w:rsidRDefault="000D3AE5" w:rsidP="000762E3">
      <w:pPr>
        <w:pStyle w:val="ListParagraph"/>
        <w:numPr>
          <w:ilvl w:val="0"/>
          <w:numId w:val="3"/>
        </w:numPr>
      </w:pPr>
      <w:r>
        <w:t>Assessment Information.</w:t>
      </w:r>
    </w:p>
    <w:p w14:paraId="404D3852" w14:textId="60F00097" w:rsidR="001F27F4" w:rsidRDefault="000D3AE5" w:rsidP="00026D1D">
      <w:pPr>
        <w:pStyle w:val="Heading2"/>
      </w:pPr>
      <w:bookmarkStart w:id="29" w:name="_Toc233297999"/>
      <w:r>
        <w:t>Functional Eligibility Determination (FED)</w:t>
      </w:r>
      <w:bookmarkEnd w:id="29"/>
    </w:p>
    <w:p w14:paraId="2197D170" w14:textId="77777777" w:rsidR="000D3AE5" w:rsidRDefault="000D3AE5" w:rsidP="006A2D41">
      <w:pPr>
        <w:rPr>
          <w:rFonts w:ascii="Microsoft Sans Serif" w:hAnsi="Microsoft Sans Serif" w:cs="Microsoft Sans Serif"/>
          <w:sz w:val="17"/>
          <w:szCs w:val="17"/>
        </w:rPr>
      </w:pPr>
      <w:r>
        <w:t>Let’s move to a review of the categories, definitions, and coding on the Functional Eligibility Determination.</w:t>
      </w:r>
    </w:p>
    <w:p w14:paraId="3A243CC2" w14:textId="660344C5" w:rsidR="001F27F4" w:rsidRDefault="000D3AE5" w:rsidP="00026D1D">
      <w:pPr>
        <w:pStyle w:val="Heading3"/>
      </w:pPr>
      <w:bookmarkStart w:id="30" w:name="_Toc233298000"/>
      <w:r>
        <w:t>Coding Comments</w:t>
      </w:r>
      <w:bookmarkEnd w:id="30"/>
    </w:p>
    <w:p w14:paraId="58C5B6BF" w14:textId="77777777" w:rsidR="000D3AE5" w:rsidRDefault="000D3AE5" w:rsidP="006A2D41">
      <w:r>
        <w:t>Before we look at items that determine eligibility and the coding for each item, let’s ensure that all assessors understand the use of comments. Focus comments on information that affects care planning, risk, or interpretation of coded items.</w:t>
      </w:r>
    </w:p>
    <w:p w14:paraId="16997387" w14:textId="77777777" w:rsidR="000D3AE5" w:rsidRDefault="000D3AE5" w:rsidP="006A2D41">
      <w:r>
        <w:t>Avoid simply restating what’s already coded in the assessment in a comment.</w:t>
      </w:r>
    </w:p>
    <w:p w14:paraId="31B03FC1" w14:textId="77777777" w:rsidR="000D3AE5" w:rsidRDefault="000D3AE5" w:rsidP="006A2D41">
      <w:r>
        <w:t>Include details that explain context, changes, or exceptions.</w:t>
      </w:r>
    </w:p>
    <w:p w14:paraId="4BF1334F" w14:textId="77777777" w:rsidR="000D3AE5" w:rsidRDefault="000D3AE5" w:rsidP="006A2D41">
      <w:r>
        <w:t>Use comments to justify or clarify unusual or borderline coding.</w:t>
      </w:r>
    </w:p>
    <w:p w14:paraId="5D7DD816" w14:textId="77777777" w:rsidR="000D3AE5" w:rsidRDefault="000D3AE5" w:rsidP="006A2D41">
      <w:r>
        <w:t>Explain why an item was coded a certain way, especially if it might seem inconsistent with other data.</w:t>
      </w:r>
    </w:p>
    <w:p w14:paraId="5207956C" w14:textId="77777777" w:rsidR="000D3AE5" w:rsidRPr="00734CBB" w:rsidRDefault="000D3AE5" w:rsidP="006A2D41">
      <w:r>
        <w:t xml:space="preserve">If a client’s status has improved or declined, specify the timeline and contributing </w:t>
      </w:r>
      <w:r w:rsidRPr="00734CBB">
        <w:t>factors. This supports reassessment and quality monitoring.</w:t>
      </w:r>
    </w:p>
    <w:p w14:paraId="735684FF" w14:textId="0D119F67" w:rsidR="000D3AE5" w:rsidRPr="00734CBB" w:rsidRDefault="000D3AE5" w:rsidP="006A2D41">
      <w:r w:rsidRPr="00734CBB">
        <w:t>Use objective, professional language to avoid subjective or emotional terms such as “pleasant lady” or “difficult family.” Stick to observed facts, quotes, or verified reports.</w:t>
      </w:r>
    </w:p>
    <w:p w14:paraId="01D9C419" w14:textId="77777777" w:rsidR="000D3AE5" w:rsidRDefault="000D3AE5" w:rsidP="006A2D41">
      <w:r w:rsidRPr="00734CBB">
        <w:t>For example, whenever the coded selection is “Activity Did Not Occur,” assessors enter a comment that provides context as to why. For example, if a participant did not shower</w:t>
      </w:r>
      <w:r>
        <w:t xml:space="preserve"> in the three-day observation period, the assessor would code an “8” and then enter comments about a shower schedule that did not fall in the observation period.</w:t>
      </w:r>
    </w:p>
    <w:p w14:paraId="55213FDB" w14:textId="77777777" w:rsidR="000D3AE5" w:rsidRDefault="000D3AE5" w:rsidP="006A2D41">
      <w:pPr>
        <w:rPr>
          <w:rFonts w:ascii="Microsoft Sans Serif" w:hAnsi="Microsoft Sans Serif" w:cs="Microsoft Sans Serif"/>
          <w:sz w:val="17"/>
          <w:szCs w:val="17"/>
        </w:rPr>
      </w:pPr>
      <w:r>
        <w:t>Comments assist other professionals in determinations, person-centered service planning, and working with hearings and appeals.</w:t>
      </w:r>
    </w:p>
    <w:p w14:paraId="29EB801A" w14:textId="7EDEA04A" w:rsidR="001F27F4" w:rsidRDefault="000D3AE5" w:rsidP="00026D1D">
      <w:pPr>
        <w:pStyle w:val="Heading3"/>
      </w:pPr>
      <w:bookmarkStart w:id="31" w:name="_Toc233298001"/>
      <w:r>
        <w:t>FED – Section A</w:t>
      </w:r>
      <w:bookmarkEnd w:id="31"/>
    </w:p>
    <w:p w14:paraId="0527C080" w14:textId="77777777" w:rsidR="000D3AE5" w:rsidRPr="00026D1D" w:rsidRDefault="000D3AE5" w:rsidP="006A2D41">
      <w:r w:rsidRPr="00026D1D">
        <w:t xml:space="preserve">The first section, Section A, is Identification. </w:t>
      </w:r>
      <w:r>
        <w:t>There are three key elements in identification that are important for all assessors to know. We’ll start with identification data.</w:t>
      </w:r>
    </w:p>
    <w:p w14:paraId="5470B905" w14:textId="23738E2B" w:rsidR="001F27F4" w:rsidRDefault="000D3AE5" w:rsidP="009571C6">
      <w:pPr>
        <w:pStyle w:val="Heading4"/>
      </w:pPr>
      <w:r>
        <w:t>FED – Section A – Identification</w:t>
      </w:r>
    </w:p>
    <w:p w14:paraId="53751915" w14:textId="77777777" w:rsidR="000D3AE5" w:rsidRDefault="000D3AE5" w:rsidP="006A2D41">
      <w:pPr>
        <w:rPr>
          <w:rFonts w:ascii="Microsoft Sans Serif" w:hAnsi="Microsoft Sans Serif" w:cs="Microsoft Sans Serif"/>
          <w:sz w:val="17"/>
          <w:szCs w:val="17"/>
        </w:rPr>
      </w:pPr>
      <w:r>
        <w:t xml:space="preserve">Assessors and service coordinators must enter the identification data as it is received in the enrollment referral. If ID items do not match, the process stalls. If the identification </w:t>
      </w:r>
      <w:r>
        <w:lastRenderedPageBreak/>
        <w:t>information has changed, service coordinators must ensure that the person’s information is updated in all systems.</w:t>
      </w:r>
    </w:p>
    <w:p w14:paraId="6FB2ADCC" w14:textId="3002BB5B" w:rsidR="001F27F4" w:rsidRDefault="000D3AE5" w:rsidP="009571C6">
      <w:pPr>
        <w:pStyle w:val="Heading4"/>
      </w:pPr>
      <w:r>
        <w:t>FED – Section A – Reference Date</w:t>
      </w:r>
    </w:p>
    <w:p w14:paraId="60A3EEB9" w14:textId="77777777" w:rsidR="000D3AE5" w:rsidRDefault="000D3AE5" w:rsidP="006A2D41">
      <w:r>
        <w:t>Next, let’s review the assessment reference date. The assessment reference date is the date on which the assessor or service coordinator met with the individual. The three-day observation period is based on the assessment reference date. The three-day observation period includes the assessment reference date and the two days before.</w:t>
      </w:r>
    </w:p>
    <w:p w14:paraId="79A210AA" w14:textId="77777777" w:rsidR="000D3AE5" w:rsidRDefault="000D3AE5" w:rsidP="006A2D41">
      <w:r>
        <w:t>For example:</w:t>
      </w:r>
    </w:p>
    <w:p w14:paraId="59663FC5" w14:textId="77777777" w:rsidR="000D3AE5" w:rsidRDefault="000D3AE5" w:rsidP="00026D1D">
      <w:pPr>
        <w:pStyle w:val="ListParagraph"/>
        <w:numPr>
          <w:ilvl w:val="0"/>
          <w:numId w:val="3"/>
        </w:numPr>
      </w:pPr>
      <w:r>
        <w:t>If you meet the person at their home on the 24th of the month to do the assessment, the Assessment Reference Date is the 24th.</w:t>
      </w:r>
    </w:p>
    <w:p w14:paraId="42A945B4" w14:textId="77777777" w:rsidR="000D3AE5" w:rsidRDefault="000D3AE5" w:rsidP="00026D1D">
      <w:pPr>
        <w:pStyle w:val="ListParagraph"/>
        <w:numPr>
          <w:ilvl w:val="0"/>
          <w:numId w:val="3"/>
        </w:numPr>
      </w:pPr>
      <w:r>
        <w:t>The three-day observation period would include: 22nd, 23rd, and 24th.</w:t>
      </w:r>
    </w:p>
    <w:p w14:paraId="72E3DBC3" w14:textId="77777777" w:rsidR="000D3AE5" w:rsidRDefault="000D3AE5" w:rsidP="00026D1D">
      <w:pPr>
        <w:pStyle w:val="ListParagraph"/>
        <w:numPr>
          <w:ilvl w:val="0"/>
          <w:numId w:val="3"/>
        </w:numPr>
      </w:pPr>
      <w:r>
        <w:t>If you come back to complete the assessment on the 28th, the three-day observation period is still: 22nd, 23rd, 24th.</w:t>
      </w:r>
    </w:p>
    <w:p w14:paraId="0C3290A2" w14:textId="77777777" w:rsidR="000D3AE5" w:rsidRDefault="000D3AE5" w:rsidP="006A2D41">
      <w:pPr>
        <w:rPr>
          <w:rFonts w:ascii="Microsoft Sans Serif" w:hAnsi="Microsoft Sans Serif" w:cs="Microsoft Sans Serif"/>
          <w:sz w:val="17"/>
          <w:szCs w:val="17"/>
        </w:rPr>
      </w:pPr>
      <w:r>
        <w:t>Assessments are usually completed using information gathered during a single visit. However, when an assessment carries over to a second visit, information for the remaining interRAI items must be for the time period established by the original Assessment Reference Date.</w:t>
      </w:r>
    </w:p>
    <w:p w14:paraId="4B5CB90F" w14:textId="1CD94B86" w:rsidR="001F27F4" w:rsidRDefault="000D3AE5" w:rsidP="009571C6">
      <w:pPr>
        <w:pStyle w:val="Heading4"/>
      </w:pPr>
      <w:r>
        <w:t>FED – Section A – Living Arrangement</w:t>
      </w:r>
    </w:p>
    <w:p w14:paraId="510B09D7" w14:textId="77777777" w:rsidR="000D3AE5" w:rsidRDefault="000D3AE5" w:rsidP="006A2D41">
      <w:r>
        <w:t xml:space="preserve">The third element is living arrangements. In the interRAI assessment phase, the MCO-SC may ask more open-ended questions about the living arrangement to determine if changes would benefit the participant. </w:t>
      </w:r>
    </w:p>
    <w:p w14:paraId="2BBB38B0" w14:textId="77777777" w:rsidR="000D3AE5" w:rsidRDefault="000D3AE5" w:rsidP="006A2D41">
      <w:pPr>
        <w:rPr>
          <w:rFonts w:ascii="Microsoft Sans Serif" w:hAnsi="Microsoft Sans Serif" w:cs="Microsoft Sans Serif"/>
          <w:sz w:val="17"/>
          <w:szCs w:val="17"/>
        </w:rPr>
      </w:pPr>
      <w:r>
        <w:t>Let’s explore a couple examples. Please refer to the Case Study Guide for examples of Living Arrangements.</w:t>
      </w:r>
    </w:p>
    <w:p w14:paraId="1F2C2881" w14:textId="741C6FB3" w:rsidR="001F27F4" w:rsidRDefault="000D3AE5" w:rsidP="00BD7C16">
      <w:pPr>
        <w:pStyle w:val="Heading3"/>
      </w:pPr>
      <w:bookmarkStart w:id="32" w:name="_Toc233298002"/>
      <w:r>
        <w:t>FED – Section B</w:t>
      </w:r>
      <w:bookmarkEnd w:id="32"/>
    </w:p>
    <w:p w14:paraId="2B134628" w14:textId="77777777" w:rsidR="000D3AE5" w:rsidRDefault="000D3AE5" w:rsidP="006A2D41">
      <w:pPr>
        <w:rPr>
          <w:rFonts w:ascii="Microsoft Sans Serif" w:hAnsi="Microsoft Sans Serif" w:cs="Microsoft Sans Serif"/>
          <w:sz w:val="17"/>
          <w:szCs w:val="17"/>
        </w:rPr>
      </w:pPr>
      <w:r>
        <w:t>FED Section B determines individuals’ performance in several areas, including cognitive skills for decision-making, memory and recall, periodic disordered thinking and awareness, and acute changes in mental status. Intent, process notes, definitions, and coding notes are in the interRAI Manual in Section C. Let’s review all four aspects, starting with cognitive skills for decision-making.</w:t>
      </w:r>
    </w:p>
    <w:p w14:paraId="026C2C5A" w14:textId="1922CF3B" w:rsidR="001F27F4" w:rsidRDefault="000D3AE5" w:rsidP="009571C6">
      <w:pPr>
        <w:pStyle w:val="Heading4"/>
      </w:pPr>
      <w:r>
        <w:t>FED – Section B – Cognition</w:t>
      </w:r>
    </w:p>
    <w:p w14:paraId="52DBE920" w14:textId="0C6268C8" w:rsidR="000D3AE5" w:rsidRDefault="000D3AE5" w:rsidP="006A2D41">
      <w:r>
        <w:t>This element records the person</w:t>
      </w:r>
      <w:r w:rsidR="005E39E5">
        <w:t>’</w:t>
      </w:r>
      <w:r>
        <w:t>s actual performance in making everyday decisions. This puts the assessor in a position to identify any mismatches between a person</w:t>
      </w:r>
      <w:r w:rsidR="005E39E5">
        <w:t>’</w:t>
      </w:r>
      <w:r>
        <w:t>s abilities and their current level of performance. More information is available in the interRAI Manual, Section C, Cognition.</w:t>
      </w:r>
    </w:p>
    <w:p w14:paraId="50893F55" w14:textId="7139F799" w:rsidR="000D3AE5" w:rsidRDefault="000D3AE5" w:rsidP="006A2D41">
      <w:r>
        <w:lastRenderedPageBreak/>
        <w:t>For example, the family may be making decisions for them without realizing the effect it has on the person</w:t>
      </w:r>
      <w:r w:rsidR="005E39E5">
        <w:t>’</w:t>
      </w:r>
      <w:r>
        <w:t>s independence. Examples of decision-making include choosing their clothing, knowing when to eat meals, using clocks and calendars to plan their day, managing the day</w:t>
      </w:r>
      <w:r w:rsidR="005E39E5">
        <w:t>’</w:t>
      </w:r>
      <w:r>
        <w:t>s events, and making prudent decisions concerning how and when to go out of the house.</w:t>
      </w:r>
    </w:p>
    <w:p w14:paraId="5036D6EE" w14:textId="77777777" w:rsidR="000D3AE5" w:rsidRDefault="000D3AE5" w:rsidP="006A2D41">
      <w:r>
        <w:t>The process to make these determinations includes interviews and observations of the person. The assessor would also consult with a family member and review the events of each day. The discussion should focus on whether the person is actively making decisions about how to manage tasks of daily living and not whether the family or caregiver believes that the person might be capable of doing so. The intent of this item is to determine actual performance.</w:t>
      </w:r>
    </w:p>
    <w:p w14:paraId="4F70A040" w14:textId="77777777" w:rsidR="000D3AE5" w:rsidRDefault="000D3AE5" w:rsidP="006A2D41">
      <w:pPr>
        <w:rPr>
          <w:rFonts w:ascii="Microsoft Sans Serif" w:hAnsi="Microsoft Sans Serif" w:cs="Microsoft Sans Serif"/>
          <w:sz w:val="17"/>
          <w:szCs w:val="17"/>
        </w:rPr>
      </w:pPr>
      <w:r>
        <w:t>Please remember that if a family member has taken over decision-making responsibility and the person chooses not to participate in decision-making, the person should be considered as having impaired performance and decision-making. Their capability does not matter for this determination. That determination is based on their actual participation in decision-making about their own life.</w:t>
      </w:r>
    </w:p>
    <w:p w14:paraId="2B5FFE7B" w14:textId="20C99182" w:rsidR="001F27F4" w:rsidRDefault="000D3AE5" w:rsidP="009571C6">
      <w:pPr>
        <w:pStyle w:val="Heading4"/>
      </w:pPr>
      <w:r>
        <w:t>FED – Section B – Decision-Making Coding</w:t>
      </w:r>
    </w:p>
    <w:p w14:paraId="6AF38519" w14:textId="77777777" w:rsidR="000D3AE5" w:rsidRDefault="000D3AE5" w:rsidP="006A2D41">
      <w:r>
        <w:t>The cognition decision-making coding elements include:</w:t>
      </w:r>
    </w:p>
    <w:p w14:paraId="6708D393" w14:textId="77777777" w:rsidR="000D3AE5" w:rsidRDefault="000D3AE5" w:rsidP="006A2D41">
      <w:r>
        <w:t>0. Independent. The person's decisions and organizing daily routines and making decisions were consistent, reasonable, and safe (reflecting lifestyle, culture, and values).</w:t>
      </w:r>
    </w:p>
    <w:p w14:paraId="58A9AD08" w14:textId="77777777" w:rsidR="000D3AE5" w:rsidRDefault="000D3AE5" w:rsidP="006A2D41">
      <w:r>
        <w:t>1. Modified independence. The person organized daily routines and made safe decisions in familiar situations, but experienced some difficulty in decision-making when faced with new tasks or new situations. The focus here is on the challenges and difficulties in facing new things.</w:t>
      </w:r>
    </w:p>
    <w:p w14:paraId="005FE4B3" w14:textId="77777777" w:rsidR="000D3AE5" w:rsidRDefault="000D3AE5" w:rsidP="006A2D41">
      <w:r>
        <w:t>2. Minimally impaired. An individual is determined to be minimally impaired, if in specific recurring situations, decisions were poor or unsafe. Minimally impaired also includes a situation in which the person requires cues or supervision at times. The keywords to think about here are recurring situations where decisions were poor and required supervision.</w:t>
      </w:r>
    </w:p>
    <w:p w14:paraId="79D563DE" w14:textId="77777777" w:rsidR="000D3AE5" w:rsidRDefault="000D3AE5" w:rsidP="006A2D41">
      <w:r>
        <w:t>3. Moderately impaired. A person is determined to be moderately impaired if the person's decisions were consistently poor or unsafe. A moderately impaired person requires reminders, cues, or supervision at all times to plan, organize, and conduct daily routines. Key things to consider here are consistently poor or unsafe decisions and the requirement for reminders and queues at all times.</w:t>
      </w:r>
    </w:p>
    <w:p w14:paraId="0A652860" w14:textId="77777777" w:rsidR="000D3AE5" w:rsidRDefault="000D3AE5" w:rsidP="006A2D41">
      <w:r>
        <w:t>4. Severely impaired. The person never or rarely makes decisions.</w:t>
      </w:r>
    </w:p>
    <w:p w14:paraId="65CA9BF3" w14:textId="77777777" w:rsidR="000D3AE5" w:rsidRDefault="000D3AE5" w:rsidP="006A2D41">
      <w:r>
        <w:t>5. No discernible consciousness. The person is nonresponsive. In this case, the assessor would move on, because they cannot interact on any level with the individual.</w:t>
      </w:r>
    </w:p>
    <w:p w14:paraId="717C9CDE" w14:textId="406CDE30" w:rsidR="001F27F4" w:rsidRDefault="000D3AE5" w:rsidP="009571C6">
      <w:pPr>
        <w:pStyle w:val="Heading4"/>
      </w:pPr>
      <w:r>
        <w:lastRenderedPageBreak/>
        <w:t>FED – Section B – Memory and Recall</w:t>
      </w:r>
    </w:p>
    <w:p w14:paraId="577279F6" w14:textId="77777777" w:rsidR="000D3AE5" w:rsidRDefault="000D3AE5" w:rsidP="006A2D41">
      <w:r>
        <w:t xml:space="preserve">Let’s move to a review of memory and recall. </w:t>
      </w:r>
    </w:p>
    <w:p w14:paraId="530DE1B2" w14:textId="7C6B8C38" w:rsidR="000D3AE5" w:rsidRDefault="000D3AE5" w:rsidP="006A2D41">
      <w:r>
        <w:t>Memory and recall coding is to determine a person</w:t>
      </w:r>
      <w:r w:rsidR="005B7680">
        <w:t>’</w:t>
      </w:r>
      <w:r>
        <w:t>s ability to remember recent and past events and to perform sequential activities. These are referred to as short-term memory, procedural memory, and situational memory. There are three aspects of memory and recall that assessors code.</w:t>
      </w:r>
    </w:p>
    <w:p w14:paraId="2E78CE76" w14:textId="44EF3382" w:rsidR="000D3AE5" w:rsidRDefault="000D3AE5" w:rsidP="006A2D41">
      <w:r>
        <w:t xml:space="preserve">B2A is short-term memory. In this category, the person seems or appears to recall information after five minutes elapses. Short-term memory is the ability to remember things after five minutes. For example, short-term memory is tested by asking the </w:t>
      </w:r>
      <w:r w:rsidRPr="00734CBB">
        <w:t>person to describe a recent event that they would likely have knowledge of. This could be what they had for breakfast and what they did yesterday. Another way to assess short-term memory is to ask the person to remember three unrelated items. The interRAI Manual provides examples</w:t>
      </w:r>
      <w:r w:rsidR="005B7680" w:rsidRPr="00734CBB">
        <w:t>,</w:t>
      </w:r>
      <w:r w:rsidRPr="00734CBB">
        <w:t xml:space="preserve"> such as book, watch, and table. Ask the person to remember those for a few minutes and then talk about something else. Do not maintain silence. Continue the conversation, but remember that in five minutes the assessor asks</w:t>
      </w:r>
      <w:r>
        <w:t xml:space="preserve"> the person to repeat the name of each item. If the person is unable to recall all three items, item B2A should be scored as a “1” for memory problem.</w:t>
      </w:r>
    </w:p>
    <w:p w14:paraId="5BB85EED" w14:textId="77777777" w:rsidR="000D3AE5" w:rsidRDefault="000D3AE5" w:rsidP="006A2D41">
      <w:r>
        <w:t xml:space="preserve">B2B assesses procedural memory. Procedural memory means that the individual can perform all or almost all steps in a multitask sequence without cues. Dressing is an example of such an activity. Multiple steps are required to complete the entire task. The person must be able to perform or remember to perform all or most of the steps in order to be scored as memory OK. Remember that this is assessing their ability to know the steps involved in the procedure. This does not refer to physical limitations that impede their independence in performing an activity. </w:t>
      </w:r>
    </w:p>
    <w:p w14:paraId="6DFA515F" w14:textId="77777777" w:rsidR="000D3AE5" w:rsidRDefault="000D3AE5" w:rsidP="006A2D41">
      <w:r>
        <w:t>B2C assesses situational memory. Situational memory means that they can recognize the names and faces of caregivers frequently encountered and that the person knows the location of places that they regularly visit such as the bedroom, the kitchen, the TV room, etc. For situational memory to be acceptable, the individual must recognize both the names and faces of frequently encountered family members or caregivers and know the location of places regularly visited such as the bedroom, the dining room, the senior community center, the bus stop, etc. The person does not have to know the street number, but they should be able to describe how they get there and the use of, or importance of, the place. This ability can be assessed in conversation.</w:t>
      </w:r>
    </w:p>
    <w:p w14:paraId="150C6613" w14:textId="63A349B9" w:rsidR="000D3AE5" w:rsidRDefault="000D3AE5" w:rsidP="006A2D41">
      <w:pPr>
        <w:rPr>
          <w:rFonts w:ascii="Microsoft Sans Serif" w:hAnsi="Microsoft Sans Serif" w:cs="Microsoft Sans Serif"/>
          <w:sz w:val="17"/>
          <w:szCs w:val="17"/>
        </w:rPr>
      </w:pPr>
      <w:r>
        <w:t>Follow the best practices for the individual processes for each of these factors. There are examples in the interRAI Manual. Please do use the guidance provided in terms of how to assess each of these items.</w:t>
      </w:r>
    </w:p>
    <w:p w14:paraId="09A4099C" w14:textId="4A110A8C" w:rsidR="001F27F4" w:rsidRDefault="000D3AE5" w:rsidP="009571C6">
      <w:pPr>
        <w:pStyle w:val="Heading4"/>
      </w:pPr>
      <w:r>
        <w:t>FED – Section B – Memory and Recall Coding</w:t>
      </w:r>
    </w:p>
    <w:p w14:paraId="4B090AB3" w14:textId="77777777" w:rsidR="000D3AE5" w:rsidRDefault="000D3AE5" w:rsidP="006A2D41">
      <w:pPr>
        <w:rPr>
          <w:rFonts w:ascii="Microsoft Sans Serif" w:hAnsi="Microsoft Sans Serif" w:cs="Microsoft Sans Serif"/>
          <w:sz w:val="17"/>
          <w:szCs w:val="17"/>
        </w:rPr>
      </w:pPr>
      <w:r>
        <w:t>The coding for memory and recall is straightforward. For each item, “0” codes as yes, memory OK. “1” codes as memory problem present in the last three days.</w:t>
      </w:r>
    </w:p>
    <w:p w14:paraId="69B13FC6" w14:textId="01DDD055" w:rsidR="001F27F4" w:rsidRDefault="000D3AE5" w:rsidP="009571C6">
      <w:pPr>
        <w:pStyle w:val="Heading4"/>
      </w:pPr>
      <w:r>
        <w:lastRenderedPageBreak/>
        <w:t>FED – Section B – Periodic Disordered Thinking</w:t>
      </w:r>
    </w:p>
    <w:p w14:paraId="06AD9EBD" w14:textId="1582AE02" w:rsidR="000D3AE5" w:rsidRDefault="000D3AE5" w:rsidP="006A2D41">
      <w:r>
        <w:t>Another aspect of cognition that is assessed is periodic disordered thinking or awareness. This documents behavioral signs that may indicate that delirium is present. Confusion or disordered thinking can be caused by medications or infections. These are treatable. A recent and rapid deterioration could be reversible if detected and treated in a timely fashion. Ensure that you</w:t>
      </w:r>
      <w:r w:rsidR="005B7680">
        <w:t>’</w:t>
      </w:r>
      <w:r>
        <w:t>re tuned to recent changes in the person</w:t>
      </w:r>
      <w:r w:rsidR="005B7680">
        <w:t>’</w:t>
      </w:r>
      <w:r>
        <w:t xml:space="preserve">s usual functioning. For example, if a person is usually outgoing and communicative and they become suddenly silent, this could point to an issue. </w:t>
      </w:r>
    </w:p>
    <w:p w14:paraId="5B2DEAE8" w14:textId="77777777" w:rsidR="000D3AE5" w:rsidRDefault="000D3AE5" w:rsidP="006A2D41">
      <w:r>
        <w:t>The subcategories are as follows:</w:t>
      </w:r>
    </w:p>
    <w:p w14:paraId="0B99AD29" w14:textId="77777777" w:rsidR="000D3AE5" w:rsidRDefault="000D3AE5" w:rsidP="00BD7C16">
      <w:pPr>
        <w:pStyle w:val="ListParagraph"/>
        <w:numPr>
          <w:ilvl w:val="0"/>
          <w:numId w:val="3"/>
        </w:numPr>
      </w:pPr>
      <w:r>
        <w:t>Easily distracted. Episodes of difficulty paying attention or the person getting sidetracked.</w:t>
      </w:r>
    </w:p>
    <w:p w14:paraId="2194C06F" w14:textId="77777777" w:rsidR="000D3AE5" w:rsidRDefault="000D3AE5" w:rsidP="00BD7C16">
      <w:pPr>
        <w:pStyle w:val="ListParagraph"/>
        <w:numPr>
          <w:ilvl w:val="0"/>
          <w:numId w:val="3"/>
        </w:numPr>
      </w:pPr>
      <w:r>
        <w:t>Episodes of disorganized speech. This means that their speech is nonsensical, irrelevant rambling, and not specific to the topic being discussed. The person loses their train of thought.</w:t>
      </w:r>
    </w:p>
    <w:p w14:paraId="62A72130" w14:textId="77777777" w:rsidR="000D3AE5" w:rsidRDefault="000D3AE5" w:rsidP="00BD7C16">
      <w:pPr>
        <w:pStyle w:val="ListParagraph"/>
        <w:numPr>
          <w:ilvl w:val="0"/>
          <w:numId w:val="3"/>
        </w:numPr>
      </w:pPr>
      <w:r>
        <w:t>Mental function varies over the course of the day. This indicates that they are sometimes better with disordered or distracted behaviors, sometimes being present, but not always.</w:t>
      </w:r>
    </w:p>
    <w:p w14:paraId="64DEE336" w14:textId="0D5FE693" w:rsidR="000D3AE5" w:rsidRDefault="000D3AE5" w:rsidP="006A2D41">
      <w:r>
        <w:t>The coding for the person</w:t>
      </w:r>
      <w:r w:rsidR="005B7680">
        <w:t>’</w:t>
      </w:r>
      <w:r>
        <w:t>s behavior in the last three days, regardless of what you believe the cause to be, is focused on when the behavior first occurred and whether it is different from the person</w:t>
      </w:r>
      <w:r w:rsidR="005B7680">
        <w:t>’</w:t>
      </w:r>
      <w:r>
        <w:t>s usual pattern. Remember, the look back is three days.</w:t>
      </w:r>
    </w:p>
    <w:p w14:paraId="2C227626" w14:textId="77777777" w:rsidR="000D3AE5" w:rsidRDefault="000D3AE5" w:rsidP="006A2D41">
      <w:r>
        <w:t>The coding is as follows:</w:t>
      </w:r>
    </w:p>
    <w:p w14:paraId="411B6992" w14:textId="50251356" w:rsidR="000D3AE5" w:rsidRDefault="000D3AE5" w:rsidP="006A2D41">
      <w:r>
        <w:t>0. Means that the behavior is not present.</w:t>
      </w:r>
    </w:p>
    <w:p w14:paraId="53ADD0BE" w14:textId="396397F2" w:rsidR="000D3AE5" w:rsidRDefault="000D3AE5" w:rsidP="006A2D41">
      <w:r>
        <w:t>1. Means that the behavior is present, consistent with usual functioning. The behavior you observed is normal for the individual.</w:t>
      </w:r>
    </w:p>
    <w:p w14:paraId="4E2DE689" w14:textId="3CC8E041" w:rsidR="000D3AE5" w:rsidRDefault="000D3AE5" w:rsidP="006A2D41">
      <w:r>
        <w:t>2. Means that the behavior is present, but it appears to be different from normal. For example, disoriented thinking is a new behavior.</w:t>
      </w:r>
    </w:p>
    <w:p w14:paraId="47B61A09" w14:textId="77777777" w:rsidR="000D3AE5" w:rsidRDefault="000D3AE5" w:rsidP="006A2D41">
      <w:pPr>
        <w:rPr>
          <w:rFonts w:ascii="Microsoft Sans Serif" w:hAnsi="Microsoft Sans Serif" w:cs="Microsoft Sans Serif"/>
          <w:sz w:val="17"/>
          <w:szCs w:val="17"/>
        </w:rPr>
      </w:pPr>
      <w:r>
        <w:t>Please refer to the interRAI Manual for examples and case studies of how to assess and score cognition.</w:t>
      </w:r>
    </w:p>
    <w:p w14:paraId="30FAA935" w14:textId="70172394" w:rsidR="001F27F4" w:rsidRDefault="000D3AE5" w:rsidP="009571C6">
      <w:pPr>
        <w:pStyle w:val="Heading4"/>
      </w:pPr>
      <w:r>
        <w:t>FED – Section B – Acute Changes</w:t>
      </w:r>
    </w:p>
    <w:p w14:paraId="1E3615C5" w14:textId="235C95A7" w:rsidR="000D3AE5" w:rsidRDefault="000D3AE5" w:rsidP="006A2D41">
      <w:r>
        <w:t>The last section related to cognition on the FED assesses if there were any sudden or recent changes in the perso</w:t>
      </w:r>
      <w:r w:rsidR="00E91B34">
        <w:t>n’</w:t>
      </w:r>
      <w:r>
        <w:t>s usual level of functioning. This could include changes related to restlessness, lethargy, being difficult to arouse, or altered environmental perceptions. This is important in determining whether elements of cognition are normal or recently changed. The coding is straightforward. “0” is no, there were no acute changes in status. A coding of “1” means that yes, there were acute changes in the individual</w:t>
      </w:r>
      <w:r w:rsidR="00E91B34">
        <w:t>’</w:t>
      </w:r>
      <w:r>
        <w:t xml:space="preserve">s mental status. </w:t>
      </w:r>
    </w:p>
    <w:p w14:paraId="108A75E2" w14:textId="77777777" w:rsidR="000D3AE5" w:rsidRDefault="000D3AE5" w:rsidP="006A2D41">
      <w:pPr>
        <w:rPr>
          <w:rFonts w:ascii="Microsoft Sans Serif" w:hAnsi="Microsoft Sans Serif" w:cs="Microsoft Sans Serif"/>
          <w:sz w:val="17"/>
          <w:szCs w:val="17"/>
        </w:rPr>
      </w:pPr>
      <w:r>
        <w:lastRenderedPageBreak/>
        <w:t>Acute Changes is for informational purposes only.</w:t>
      </w:r>
    </w:p>
    <w:p w14:paraId="67D804D6" w14:textId="34BBB570" w:rsidR="001F27F4" w:rsidRDefault="000D3AE5" w:rsidP="003403CA">
      <w:pPr>
        <w:pStyle w:val="Heading3"/>
      </w:pPr>
      <w:bookmarkStart w:id="33" w:name="_Toc233298003"/>
      <w:r>
        <w:t>FED – Section C</w:t>
      </w:r>
      <w:bookmarkEnd w:id="33"/>
    </w:p>
    <w:p w14:paraId="42541AF4" w14:textId="77777777" w:rsidR="000D3AE5" w:rsidRDefault="000D3AE5" w:rsidP="006A2D41">
      <w:r>
        <w:t>The next FED section is Mood and Behavior.</w:t>
      </w:r>
    </w:p>
    <w:p w14:paraId="60F28469" w14:textId="77777777" w:rsidR="000D3AE5" w:rsidRDefault="000D3AE5" w:rsidP="006A2D41">
      <w:r>
        <w:t>Please note that the mood and behavior section on the FED is limited to behavior symptoms.</w:t>
      </w:r>
    </w:p>
    <w:p w14:paraId="58625C49" w14:textId="77777777" w:rsidR="000D3AE5" w:rsidRDefault="000D3AE5" w:rsidP="006A2D41">
      <w:pPr>
        <w:rPr>
          <w:rFonts w:ascii="Microsoft Sans Serif" w:hAnsi="Microsoft Sans Serif" w:cs="Microsoft Sans Serif"/>
          <w:sz w:val="17"/>
          <w:szCs w:val="17"/>
        </w:rPr>
      </w:pPr>
      <w:r>
        <w:t>For guidance on conversations and scoring, or detailed support on intent, process, definitions, and coding, see the interRAI Manual, Section E.</w:t>
      </w:r>
    </w:p>
    <w:p w14:paraId="25F1CA48" w14:textId="32E87926" w:rsidR="001F27F4" w:rsidRDefault="000D3AE5" w:rsidP="009571C6">
      <w:pPr>
        <w:pStyle w:val="Heading4"/>
      </w:pPr>
      <w:r>
        <w:t>FED – Section C – Mood and Behavior</w:t>
      </w:r>
    </w:p>
    <w:p w14:paraId="60BB3F62" w14:textId="77777777" w:rsidR="000D3AE5" w:rsidRDefault="000D3AE5" w:rsidP="006A2D41">
      <w:r>
        <w:t>The behaviors noted in this section can be potentially harmful to the person or disruptive to others. These items can be considered to be “combative” or “agitated” by some professionals. It is important to document behavioral symptoms as a basis for further evaluation, care planning, and delivering appropriate care.</w:t>
      </w:r>
    </w:p>
    <w:p w14:paraId="3D2CAF04" w14:textId="77777777" w:rsidR="000D3AE5" w:rsidRDefault="000D3AE5" w:rsidP="006A2D41">
      <w:r>
        <w:t>These specific behavior symptoms include:</w:t>
      </w:r>
    </w:p>
    <w:p w14:paraId="7642F701" w14:textId="77777777" w:rsidR="000D3AE5" w:rsidRDefault="000D3AE5" w:rsidP="003403CA">
      <w:pPr>
        <w:pStyle w:val="ListParagraph"/>
        <w:numPr>
          <w:ilvl w:val="0"/>
          <w:numId w:val="3"/>
        </w:numPr>
      </w:pPr>
      <w:r>
        <w:t>Wandering. The person moved about with no discernible rationale or purpose. The person may be oblivious to their own safety needs. It could be walking or using a wheelchair. This does not include pacing back and forth.</w:t>
      </w:r>
    </w:p>
    <w:p w14:paraId="020AD74E" w14:textId="77777777" w:rsidR="000D3AE5" w:rsidRDefault="000D3AE5" w:rsidP="003403CA">
      <w:pPr>
        <w:pStyle w:val="ListParagraph"/>
        <w:numPr>
          <w:ilvl w:val="0"/>
          <w:numId w:val="3"/>
        </w:numPr>
      </w:pPr>
      <w:r>
        <w:t>Verbal abuse. If the individual threatened, screamed at, or cursed others.</w:t>
      </w:r>
    </w:p>
    <w:p w14:paraId="74F27B36" w14:textId="77777777" w:rsidR="000D3AE5" w:rsidRDefault="000D3AE5" w:rsidP="003403CA">
      <w:pPr>
        <w:pStyle w:val="ListParagraph"/>
        <w:numPr>
          <w:ilvl w:val="0"/>
          <w:numId w:val="3"/>
        </w:numPr>
      </w:pPr>
      <w:r>
        <w:t>Physical abuse. For example, others were hit, shoved, scratched, or sexually abused.</w:t>
      </w:r>
    </w:p>
    <w:p w14:paraId="156DC972" w14:textId="77777777" w:rsidR="000D3AE5" w:rsidRDefault="000D3AE5" w:rsidP="003403CA">
      <w:pPr>
        <w:pStyle w:val="ListParagraph"/>
        <w:numPr>
          <w:ilvl w:val="0"/>
          <w:numId w:val="3"/>
        </w:numPr>
      </w:pPr>
      <w:r>
        <w:t>Socially inappropriate or disruptive behavior. If the person made disruptive sounds or noises, smeared or threw food or feces, hoarded, or rummaged through others’ belongings. This would be considered socially inappropriate or disruptive behavior.</w:t>
      </w:r>
    </w:p>
    <w:p w14:paraId="2FD5EA84" w14:textId="77777777" w:rsidR="000D3AE5" w:rsidRDefault="000D3AE5" w:rsidP="003403CA">
      <w:pPr>
        <w:pStyle w:val="ListParagraph"/>
        <w:numPr>
          <w:ilvl w:val="0"/>
          <w:numId w:val="3"/>
        </w:numPr>
      </w:pPr>
      <w:r>
        <w:t>Inappropriate public sexual behavior or public disrobing.</w:t>
      </w:r>
    </w:p>
    <w:p w14:paraId="3C928419" w14:textId="77777777" w:rsidR="000D3AE5" w:rsidRDefault="000D3AE5" w:rsidP="003403CA">
      <w:pPr>
        <w:pStyle w:val="ListParagraph"/>
        <w:numPr>
          <w:ilvl w:val="0"/>
          <w:numId w:val="3"/>
        </w:numPr>
      </w:pPr>
      <w:r>
        <w:t>Resists care. Examples of resisting care include not taking medications, pushing a caregiver away while receiving assistance with activities of daily living, pushing caregivers away when they're trying to assist a person with walking or changing positions. This does not include cases in which the person made an informed choice not to follow a course of care. Individuals can decide that they prefer one course of care over another. Resistance refers to not participating in and actively foiling attempts at the care that was decided upon and agreed to. There could be many reasons for resistance to care. The reasons behind this could point to further investigation. Use comments to provide any details or context that could be important to designing a person-centered service plan.</w:t>
      </w:r>
    </w:p>
    <w:p w14:paraId="5BE28B1F" w14:textId="77777777" w:rsidR="000D3AE5" w:rsidRPr="003403CA" w:rsidRDefault="000D3AE5" w:rsidP="003403CA">
      <w:pPr>
        <w:pStyle w:val="ListParagraph"/>
        <w:numPr>
          <w:ilvl w:val="0"/>
          <w:numId w:val="3"/>
        </w:numPr>
      </w:pPr>
      <w:r>
        <w:t>Outbursts of anger. Intense flare-up(s) of anger in reaction to specific actions or events, could rise to the point of rage.</w:t>
      </w:r>
    </w:p>
    <w:p w14:paraId="263980CC" w14:textId="1FBA75EB" w:rsidR="001F27F4" w:rsidRDefault="000D3AE5" w:rsidP="009571C6">
      <w:pPr>
        <w:pStyle w:val="Heading4"/>
      </w:pPr>
      <w:r>
        <w:lastRenderedPageBreak/>
        <w:t>FED – Section C – Mood and Behavior Coding</w:t>
      </w:r>
    </w:p>
    <w:p w14:paraId="386775BC" w14:textId="77777777" w:rsidR="000D3AE5" w:rsidRDefault="000D3AE5" w:rsidP="006A2D41">
      <w:r>
        <w:t>When making determinations and entering coding, ask the family member or caregiver if each of these specific behaviors occurred. Focus on action, not intent. Be mindful of the fact that some family members have become used to behaviors and consider them normal.</w:t>
      </w:r>
    </w:p>
    <w:p w14:paraId="058A5A9D" w14:textId="77777777" w:rsidR="000D3AE5" w:rsidRDefault="000D3AE5" w:rsidP="006A2D41">
      <w:r>
        <w:t xml:space="preserve">The assessor also observes the person and the way they respond to attempts by family members or other caregivers to deliver care. Ask caregivers what they know about what occurred throughout the day and night for the past three days. If possible, try to talk to caregivers separately. </w:t>
      </w:r>
    </w:p>
    <w:p w14:paraId="7DF2187F" w14:textId="77777777" w:rsidR="000D3AE5" w:rsidRDefault="000D3AE5" w:rsidP="006A2D41">
      <w:r>
        <w:t>The coding is as follows:</w:t>
      </w:r>
    </w:p>
    <w:p w14:paraId="4BA2C37C" w14:textId="5296D8DF" w:rsidR="000D3AE5" w:rsidRDefault="000D3AE5" w:rsidP="006A2D41">
      <w:r>
        <w:t>0. Not in the last three days.</w:t>
      </w:r>
    </w:p>
    <w:p w14:paraId="3E3255EC" w14:textId="77777777" w:rsidR="000D3AE5" w:rsidRDefault="000D3AE5" w:rsidP="006A2D41">
      <w:r>
        <w:t>1.  Not in the last three days, but often feels that way. Use this code only if the person indicates the feeling is frequently present and active, but was not experienced in the last three days.</w:t>
      </w:r>
    </w:p>
    <w:p w14:paraId="2C170B76" w14:textId="000AB37D" w:rsidR="000D3AE5" w:rsidRDefault="000D3AE5" w:rsidP="006A2D41">
      <w:r>
        <w:t>2. In one to two of the last three days.</w:t>
      </w:r>
    </w:p>
    <w:p w14:paraId="0B1F87B6" w14:textId="35947909" w:rsidR="000D3AE5" w:rsidRDefault="000D3AE5" w:rsidP="006A2D41">
      <w:r>
        <w:t>3. Daily in the last three days.</w:t>
      </w:r>
    </w:p>
    <w:p w14:paraId="21D1BAFD" w14:textId="77777777" w:rsidR="000D3AE5" w:rsidRDefault="000D3AE5" w:rsidP="006A2D41">
      <w:pPr>
        <w:rPr>
          <w:rFonts w:ascii="Microsoft Sans Serif" w:hAnsi="Microsoft Sans Serif" w:cs="Microsoft Sans Serif"/>
          <w:sz w:val="17"/>
          <w:szCs w:val="17"/>
        </w:rPr>
      </w:pPr>
      <w:r>
        <w:t>Please use the interRAI Manual for more specific examples, case studies, and more detail on the process to accurately assess the individual.</w:t>
      </w:r>
    </w:p>
    <w:p w14:paraId="2DCBEC78" w14:textId="08AA3A7F" w:rsidR="001F27F4" w:rsidRDefault="000D3AE5" w:rsidP="009571C6">
      <w:pPr>
        <w:pStyle w:val="Heading4"/>
      </w:pPr>
      <w:r>
        <w:t>interRAI – Mood and Behavior</w:t>
      </w:r>
    </w:p>
    <w:p w14:paraId="55E72A41" w14:textId="77777777" w:rsidR="000D3AE5" w:rsidRDefault="000D3AE5" w:rsidP="006A2D41">
      <w:r>
        <w:t>Mood and behavior are assessed more broadly in the interRAI comprehensive needs assessment. Mood distress is a serious condition and is associated with morbidity. Mood and behavior can lead to functional impairment, resistance to daily care, inability to participate in activities, social isolation, increased risk of medical illness, cognitive impairment, and an increased sensitivity to physical pain.  As such, it is particularly important to identify signs and symptoms. They are treatable. Mood distress is often under-identified and under-diagnosed.</w:t>
      </w:r>
    </w:p>
    <w:p w14:paraId="4210885A" w14:textId="77777777" w:rsidR="000D3AE5" w:rsidRDefault="000D3AE5" w:rsidP="006A2D41">
      <w:r>
        <w:t>This is an assessment of indicators in the last three days. Indicators can be expressed through direct statements or through nonverbal communication and behaviors. Look for both.</w:t>
      </w:r>
    </w:p>
    <w:p w14:paraId="67FEBDC2" w14:textId="3C107781" w:rsidR="000D3AE5" w:rsidRDefault="00BF3BA5" w:rsidP="006A2D41">
      <w:r>
        <w:t xml:space="preserve">Here is a list </w:t>
      </w:r>
      <w:r w:rsidR="000D3AE5">
        <w:t>of some of the elements included in the assessment of mood and behavior.</w:t>
      </w:r>
    </w:p>
    <w:p w14:paraId="57603CCD" w14:textId="77777777" w:rsidR="00BF3BA5" w:rsidRDefault="00BF3BA5" w:rsidP="00BF3BA5">
      <w:pPr>
        <w:pStyle w:val="ListParagraph"/>
        <w:numPr>
          <w:ilvl w:val="0"/>
          <w:numId w:val="3"/>
        </w:numPr>
      </w:pPr>
      <w:r>
        <w:t>Made negative statements. For example, “Nothing matters.” “I'd rather be dead.” “What's the use?” “Let me die.” or something less obvious such as pervasive tiredness or disinterest.</w:t>
      </w:r>
    </w:p>
    <w:p w14:paraId="22095AA4" w14:textId="77777777" w:rsidR="00BF3BA5" w:rsidRDefault="00BF3BA5" w:rsidP="00BF3BA5">
      <w:pPr>
        <w:pStyle w:val="ListParagraph"/>
        <w:numPr>
          <w:ilvl w:val="0"/>
          <w:numId w:val="3"/>
        </w:numPr>
      </w:pPr>
      <w:r>
        <w:t>Persistent anger with self or others. For example, the person is easily annoyed or flashes to anger quickly at the care received.</w:t>
      </w:r>
    </w:p>
    <w:p w14:paraId="5BE71B12" w14:textId="4EA68B27" w:rsidR="00BF3BA5" w:rsidRDefault="00BF3BA5" w:rsidP="00BF3BA5">
      <w:pPr>
        <w:pStyle w:val="ListParagraph"/>
        <w:numPr>
          <w:ilvl w:val="0"/>
          <w:numId w:val="3"/>
        </w:numPr>
      </w:pPr>
      <w:r>
        <w:lastRenderedPageBreak/>
        <w:t>Expressions of unrealistic fears, either verbally or nonverbally. The fear of being abandon</w:t>
      </w:r>
      <w:r w:rsidRPr="005A2C0D">
        <w:t xml:space="preserve">ed, </w:t>
      </w:r>
      <w:r w:rsidR="00E91B34" w:rsidRPr="005A2C0D">
        <w:t xml:space="preserve">of </w:t>
      </w:r>
      <w:r w:rsidRPr="005A2C0D">
        <w:t>being left</w:t>
      </w:r>
      <w:r>
        <w:t xml:space="preserve"> alone, and of other people.</w:t>
      </w:r>
    </w:p>
    <w:p w14:paraId="6CB560C2" w14:textId="4C06650B" w:rsidR="00BF3BA5" w:rsidRDefault="00BF3BA5" w:rsidP="00BF3BA5">
      <w:pPr>
        <w:pStyle w:val="ListParagraph"/>
        <w:numPr>
          <w:ilvl w:val="0"/>
          <w:numId w:val="3"/>
        </w:numPr>
      </w:pPr>
      <w:r>
        <w:t>Repetitive health complaints. For example, the person seeks medical attention frequently and maybe incessantly, or is abnormally concerned with their bodily functions.</w:t>
      </w:r>
    </w:p>
    <w:p w14:paraId="40BC6648" w14:textId="77777777" w:rsidR="00BF3BA5" w:rsidRPr="00BF3BA5" w:rsidRDefault="00BF3BA5" w:rsidP="00BF3BA5">
      <w:pPr>
        <w:pStyle w:val="ListParagraph"/>
        <w:numPr>
          <w:ilvl w:val="0"/>
          <w:numId w:val="3"/>
        </w:numPr>
      </w:pPr>
      <w:r w:rsidRPr="00BF3BA5">
        <w:t>Repetitive, anxious complaints and concerns that are non-health related. For example, they continuously seek attention and reassurance about schedules, meals, laundry, and relationships.</w:t>
      </w:r>
    </w:p>
    <w:p w14:paraId="16ACABEE" w14:textId="77777777" w:rsidR="00BF3BA5" w:rsidRPr="00BF3BA5" w:rsidRDefault="00BF3BA5" w:rsidP="00BF3BA5">
      <w:pPr>
        <w:pStyle w:val="ListParagraph"/>
        <w:numPr>
          <w:ilvl w:val="0"/>
          <w:numId w:val="3"/>
        </w:numPr>
      </w:pPr>
      <w:r w:rsidRPr="00BF3BA5">
        <w:t>Sad, pained, or worried facial expressions.</w:t>
      </w:r>
    </w:p>
    <w:p w14:paraId="794C7FC8" w14:textId="77777777" w:rsidR="00BF3BA5" w:rsidRPr="00BF3BA5" w:rsidRDefault="00BF3BA5" w:rsidP="00BF3BA5">
      <w:pPr>
        <w:pStyle w:val="ListParagraph"/>
        <w:numPr>
          <w:ilvl w:val="0"/>
          <w:numId w:val="3"/>
        </w:numPr>
      </w:pPr>
      <w:r w:rsidRPr="00BF3BA5">
        <w:t>Crying or tearfulness.</w:t>
      </w:r>
    </w:p>
    <w:p w14:paraId="06CF0FF3" w14:textId="77777777" w:rsidR="00BF3BA5" w:rsidRPr="00BF3BA5" w:rsidRDefault="00BF3BA5" w:rsidP="00BF3BA5">
      <w:pPr>
        <w:pStyle w:val="ListParagraph"/>
        <w:numPr>
          <w:ilvl w:val="0"/>
          <w:numId w:val="3"/>
        </w:numPr>
      </w:pPr>
      <w:r w:rsidRPr="00BF3BA5">
        <w:t>Recurrent statements that something terrible is about to happen.</w:t>
      </w:r>
    </w:p>
    <w:p w14:paraId="50A38D28" w14:textId="77777777" w:rsidR="00BF3BA5" w:rsidRPr="00BF3BA5" w:rsidRDefault="00BF3BA5" w:rsidP="00BF3BA5">
      <w:pPr>
        <w:pStyle w:val="ListParagraph"/>
        <w:numPr>
          <w:ilvl w:val="0"/>
          <w:numId w:val="3"/>
        </w:numPr>
      </w:pPr>
      <w:r w:rsidRPr="00BF3BA5">
        <w:t>Withdrawal from activities of interest. This could include hobbies, prior activities, or being with family and friends.</w:t>
      </w:r>
    </w:p>
    <w:p w14:paraId="2D6B13FF" w14:textId="77777777" w:rsidR="00BF3BA5" w:rsidRPr="00BF3BA5" w:rsidRDefault="00BF3BA5" w:rsidP="00BF3BA5">
      <w:pPr>
        <w:pStyle w:val="ListParagraph"/>
        <w:numPr>
          <w:ilvl w:val="0"/>
          <w:numId w:val="3"/>
        </w:numPr>
      </w:pPr>
      <w:r w:rsidRPr="00BF3BA5">
        <w:t>Reduced social interactions.</w:t>
      </w:r>
    </w:p>
    <w:p w14:paraId="1686FB73" w14:textId="7FEAD6A7" w:rsidR="00BF3BA5" w:rsidRPr="00BF3BA5" w:rsidRDefault="00BF3BA5" w:rsidP="00BF3BA5">
      <w:pPr>
        <w:pStyle w:val="ListParagraph"/>
        <w:numPr>
          <w:ilvl w:val="0"/>
          <w:numId w:val="3"/>
        </w:numPr>
      </w:pPr>
      <w:r w:rsidRPr="00BF3BA5">
        <w:t>Expressions of a lack of pleasure in life.</w:t>
      </w:r>
    </w:p>
    <w:p w14:paraId="714E0EE9" w14:textId="66E838C0" w:rsidR="001F27F4" w:rsidRDefault="000D3AE5" w:rsidP="009571C6">
      <w:pPr>
        <w:pStyle w:val="Heading4"/>
      </w:pPr>
      <w:r>
        <w:t>interRAI – Mood and Behavior – Coding</w:t>
      </w:r>
    </w:p>
    <w:p w14:paraId="1E42B5A3" w14:textId="0440AF1B" w:rsidR="000D3AE5" w:rsidRDefault="000D3AE5" w:rsidP="006A2D41">
      <w:r>
        <w:t>Observe the person carefully. Engage them in conversation and consult with family members who may have direct knowledge of the person</w:t>
      </w:r>
      <w:r w:rsidR="00E91B34">
        <w:t>’</w:t>
      </w:r>
      <w:r>
        <w:t>s typical and current behavior. Be sensitive to cultural differences and how these factors could play out in your conversations. Some people may be more or less likely to talk about feelings based on their cultural norms.</w:t>
      </w:r>
    </w:p>
    <w:p w14:paraId="06C9DBF6" w14:textId="164CB270" w:rsidR="000D3AE5" w:rsidRDefault="000D3AE5" w:rsidP="006A2D41">
      <w:r>
        <w:t>The coding is as follows based on your interaction and observation of the person</w:t>
      </w:r>
      <w:r w:rsidR="00E91B34">
        <w:t>’</w:t>
      </w:r>
      <w:r>
        <w:t>s behavior over the last three days. This score can be based on what you see or what is reported to you regardless of what you believe the cause to be.</w:t>
      </w:r>
    </w:p>
    <w:p w14:paraId="16840F7D" w14:textId="75D61927" w:rsidR="000D3AE5" w:rsidRDefault="000D3AE5" w:rsidP="006A2D41">
      <w:r>
        <w:t xml:space="preserve">0. Not present. </w:t>
      </w:r>
    </w:p>
    <w:p w14:paraId="6352E476" w14:textId="318FF397" w:rsidR="000D3AE5" w:rsidRDefault="000D3AE5" w:rsidP="006A2D41">
      <w:r>
        <w:t>1. Present, but not exhibited in the last three days. Use this code if you know the condition is present and active even though it was not observed in the last three days.</w:t>
      </w:r>
    </w:p>
    <w:p w14:paraId="7E1362B2" w14:textId="7A80BC99" w:rsidR="000D3AE5" w:rsidRDefault="000D3AE5" w:rsidP="006A2D41">
      <w:r>
        <w:t>2. Exhibited on one to two of the last three days.</w:t>
      </w:r>
    </w:p>
    <w:p w14:paraId="48BE5314" w14:textId="37D02422" w:rsidR="000D3AE5" w:rsidRDefault="000D3AE5" w:rsidP="006A2D41">
      <w:pPr>
        <w:rPr>
          <w:rFonts w:ascii="Microsoft Sans Serif" w:hAnsi="Microsoft Sans Serif" w:cs="Microsoft Sans Serif"/>
          <w:sz w:val="17"/>
          <w:szCs w:val="17"/>
        </w:rPr>
      </w:pPr>
      <w:r>
        <w:t>3. Exhibited daily in the last three days.</w:t>
      </w:r>
    </w:p>
    <w:p w14:paraId="5A094319" w14:textId="7BE1A233" w:rsidR="001F27F4" w:rsidRDefault="000D3AE5" w:rsidP="009571C6">
      <w:pPr>
        <w:pStyle w:val="Heading4"/>
      </w:pPr>
      <w:r>
        <w:t>interRAI – Self-Reported Mood</w:t>
      </w:r>
    </w:p>
    <w:p w14:paraId="20D0E105" w14:textId="77777777" w:rsidR="000D3AE5" w:rsidRDefault="000D3AE5" w:rsidP="006A2D41">
      <w:r>
        <w:t>The next subcategory of mood and behavior is their self-reported mood. This is not included in the FED, but is included in the interRAI comprehensive needs assessment. This is fairly straightforward to assess. The answers can inform the service coordinator if a behavior health intervention is appropriate and needed.</w:t>
      </w:r>
    </w:p>
    <w:p w14:paraId="4791FA43" w14:textId="77777777" w:rsidR="000D3AE5" w:rsidRDefault="000D3AE5" w:rsidP="006A2D41">
      <w:r>
        <w:t>Ask the individual, “In the last three-days, how often have you felt . . .</w:t>
      </w:r>
    </w:p>
    <w:p w14:paraId="463ABAD3" w14:textId="77777777" w:rsidR="000D3AE5" w:rsidRDefault="000D3AE5" w:rsidP="00A662E6">
      <w:pPr>
        <w:pStyle w:val="ListParagraph"/>
        <w:numPr>
          <w:ilvl w:val="0"/>
          <w:numId w:val="3"/>
        </w:numPr>
      </w:pPr>
      <w:r>
        <w:t>Little interest or pleasure in things you normally enjoy?”</w:t>
      </w:r>
    </w:p>
    <w:p w14:paraId="561E0C5D" w14:textId="77777777" w:rsidR="000D3AE5" w:rsidRDefault="000D3AE5" w:rsidP="00A662E6">
      <w:pPr>
        <w:pStyle w:val="ListParagraph"/>
        <w:numPr>
          <w:ilvl w:val="0"/>
          <w:numId w:val="3"/>
        </w:numPr>
      </w:pPr>
      <w:r>
        <w:lastRenderedPageBreak/>
        <w:t>Anxious, restless, or uneasy?”</w:t>
      </w:r>
    </w:p>
    <w:p w14:paraId="59CD3236" w14:textId="77777777" w:rsidR="000D3AE5" w:rsidRDefault="000D3AE5" w:rsidP="00A662E6">
      <w:pPr>
        <w:pStyle w:val="ListParagraph"/>
        <w:numPr>
          <w:ilvl w:val="0"/>
          <w:numId w:val="3"/>
        </w:numPr>
      </w:pPr>
      <w:r>
        <w:t>Sad, depressed, or hopeless?”</w:t>
      </w:r>
    </w:p>
    <w:p w14:paraId="300C2712" w14:textId="77777777" w:rsidR="000D3AE5" w:rsidRDefault="000D3AE5" w:rsidP="00A662E6">
      <w:pPr>
        <w:pStyle w:val="ListParagraph"/>
        <w:numPr>
          <w:ilvl w:val="0"/>
          <w:numId w:val="3"/>
        </w:numPr>
      </w:pPr>
      <w:r>
        <w:t>Angry with yourself?”</w:t>
      </w:r>
    </w:p>
    <w:p w14:paraId="5D43B521" w14:textId="77777777" w:rsidR="000D3AE5" w:rsidRDefault="000D3AE5" w:rsidP="00A662E6">
      <w:pPr>
        <w:pStyle w:val="ListParagraph"/>
        <w:numPr>
          <w:ilvl w:val="0"/>
          <w:numId w:val="3"/>
        </w:numPr>
      </w:pPr>
      <w:r>
        <w:t>Angry with others?”</w:t>
      </w:r>
    </w:p>
    <w:p w14:paraId="5880BC50" w14:textId="5D0064C4" w:rsidR="000D3AE5" w:rsidRDefault="000D3AE5" w:rsidP="006A2D41">
      <w:r>
        <w:t>Only the perso</w:t>
      </w:r>
      <w:r w:rsidR="00E91B34">
        <w:t>’</w:t>
      </w:r>
      <w:r>
        <w:t>'s responses should be used to rate each item. Do not code based on your inferences or ratings given by family members or caregivers. These items are strictly self-reported. If the person is unable to respond or refuses to respond, use code “8.” Ensure that the individual answers how often they experience the feelings in the three-day observation window.</w:t>
      </w:r>
    </w:p>
    <w:p w14:paraId="712BCED1" w14:textId="77777777" w:rsidR="000D3AE5" w:rsidRDefault="000D3AE5" w:rsidP="006A2D41">
      <w:r>
        <w:t>The coding is as follows:</w:t>
      </w:r>
    </w:p>
    <w:p w14:paraId="38AA1E9D" w14:textId="77777777" w:rsidR="000D3AE5" w:rsidRDefault="000D3AE5" w:rsidP="006A2D41">
      <w:r>
        <w:t>0. Not in the last three days.</w:t>
      </w:r>
    </w:p>
    <w:p w14:paraId="71653C15" w14:textId="77777777" w:rsidR="000D3AE5" w:rsidRDefault="000D3AE5" w:rsidP="006A2D41">
      <w:r>
        <w:t>1. Not in the last three days, but often feels that way. Use this code only if the person indicates the feeling is frequently present and active but was not experienced in the last three days.</w:t>
      </w:r>
    </w:p>
    <w:p w14:paraId="53BEE3AB" w14:textId="77777777" w:rsidR="000D3AE5" w:rsidRDefault="000D3AE5" w:rsidP="006A2D41">
      <w:r>
        <w:t>2. In one to two of the last three days.</w:t>
      </w:r>
    </w:p>
    <w:p w14:paraId="5D3102A4" w14:textId="77777777" w:rsidR="000D3AE5" w:rsidRDefault="000D3AE5" w:rsidP="006A2D41">
      <w:r>
        <w:t>3. Daily in the last three days.</w:t>
      </w:r>
    </w:p>
    <w:p w14:paraId="3C3F4085" w14:textId="77777777" w:rsidR="000D3AE5" w:rsidRDefault="000D3AE5" w:rsidP="006A2D41">
      <w:pPr>
        <w:rPr>
          <w:rFonts w:ascii="Microsoft Sans Serif" w:hAnsi="Microsoft Sans Serif" w:cs="Microsoft Sans Serif"/>
          <w:sz w:val="17"/>
          <w:szCs w:val="17"/>
        </w:rPr>
      </w:pPr>
      <w:r>
        <w:t>8. Person could not or would not respond.</w:t>
      </w:r>
    </w:p>
    <w:p w14:paraId="117E1043" w14:textId="331F8C39" w:rsidR="001F27F4" w:rsidRDefault="000D3AE5" w:rsidP="00A662E6">
      <w:pPr>
        <w:pStyle w:val="Heading3"/>
      </w:pPr>
      <w:bookmarkStart w:id="34" w:name="_Toc233298004"/>
      <w:r>
        <w:t>FED – Section D</w:t>
      </w:r>
      <w:bookmarkEnd w:id="34"/>
    </w:p>
    <w:p w14:paraId="385194B9" w14:textId="77777777" w:rsidR="000D3AE5" w:rsidRDefault="000D3AE5" w:rsidP="006A2D41">
      <w:r>
        <w:t xml:space="preserve">The next section on the FED is Functional Status. </w:t>
      </w:r>
    </w:p>
    <w:p w14:paraId="5A4BB76C" w14:textId="77777777" w:rsidR="000D3AE5" w:rsidRDefault="000D3AE5" w:rsidP="006A2D41">
      <w:pPr>
        <w:rPr>
          <w:rFonts w:ascii="Microsoft Sans Serif" w:hAnsi="Microsoft Sans Serif" w:cs="Microsoft Sans Serif"/>
          <w:sz w:val="17"/>
          <w:szCs w:val="17"/>
        </w:rPr>
      </w:pPr>
      <w:r>
        <w:t>Detailed information on intent, process, definitions, and coding is in the interRAI Manual, Section G.</w:t>
      </w:r>
    </w:p>
    <w:p w14:paraId="19D5AF30" w14:textId="4BB4C3DD" w:rsidR="001F27F4" w:rsidRDefault="000D3AE5" w:rsidP="009571C6">
      <w:pPr>
        <w:pStyle w:val="Heading4"/>
      </w:pPr>
      <w:r>
        <w:t>FED – Section D – Functional Status (ADL)</w:t>
      </w:r>
    </w:p>
    <w:p w14:paraId="0ECFE420" w14:textId="77777777" w:rsidR="000D3AE5" w:rsidRDefault="000D3AE5" w:rsidP="006A2D41">
      <w:r>
        <w:t>For the FED, Functional Status refers to Activities of Daily Living, ADLs. In the interRAI Manual and on the comprehensive needs assessment, this is item G5, ADL self-performance. This identifies what the person did for themselves and how others assisted in the performance of activities of daily living during the last three days. These are all performance-based items. They do not refer to the capacity of an individual to do something. These items are assessed based on actual performance in the assessment window.</w:t>
      </w:r>
    </w:p>
    <w:p w14:paraId="29D0AAC0" w14:textId="5B24C36F" w:rsidR="001F27F4" w:rsidRPr="009571C6" w:rsidRDefault="000D3AE5" w:rsidP="009571C6">
      <w:pPr>
        <w:pStyle w:val="Heading5"/>
      </w:pPr>
      <w:r w:rsidRPr="009571C6">
        <w:t>Bathing</w:t>
      </w:r>
    </w:p>
    <w:p w14:paraId="29930742" w14:textId="23A74CB6" w:rsidR="00A662E6" w:rsidRDefault="00A662E6" w:rsidP="00A662E6">
      <w:r w:rsidRPr="00A662E6">
        <w:t>How the person takes a full body bath or shower. This also includes how each part of the body is bathed, including arms, upper and lower legs, chest, abdomen, and perineal area. This does not include washing the back and the hair. This does not include transferring in and out of the bath or shower.</w:t>
      </w:r>
    </w:p>
    <w:p w14:paraId="5D4825A4" w14:textId="494BD1F0" w:rsidR="001F27F4" w:rsidRDefault="000D3AE5" w:rsidP="009571C6">
      <w:pPr>
        <w:pStyle w:val="Heading5"/>
      </w:pPr>
      <w:r>
        <w:lastRenderedPageBreak/>
        <w:t>Bath Transfer</w:t>
      </w:r>
    </w:p>
    <w:p w14:paraId="21208B56" w14:textId="25A5622E" w:rsidR="00A662E6" w:rsidRDefault="006D088C" w:rsidP="00A662E6">
      <w:r w:rsidRPr="006D088C">
        <w:t>How the person transfers in and out of the bath or shower.</w:t>
      </w:r>
    </w:p>
    <w:p w14:paraId="23E788E1" w14:textId="0BA95E93" w:rsidR="001F27F4" w:rsidRDefault="000D3AE5" w:rsidP="009571C6">
      <w:pPr>
        <w:pStyle w:val="Heading5"/>
      </w:pPr>
      <w:r>
        <w:t>Personal Hygiene</w:t>
      </w:r>
    </w:p>
    <w:p w14:paraId="2C248B25" w14:textId="0E3B292D" w:rsidR="00A662E6" w:rsidRDefault="006D088C" w:rsidP="00A662E6">
      <w:r w:rsidRPr="005A2C0D">
        <w:t>How does the person manage their personal hygiene including washing and combing</w:t>
      </w:r>
      <w:r w:rsidRPr="006D088C">
        <w:t xml:space="preserve"> their hair, brushing their teeth, shaving, applying makeup, and washing and drying their face and hands</w:t>
      </w:r>
      <w:r w:rsidR="00416837">
        <w:t>?</w:t>
      </w:r>
      <w:r w:rsidRPr="006D088C">
        <w:t xml:space="preserve"> This excludes baths and showers. Personal hygiene does include hair washing and bathing at the sink when the person does not use the bath or shower.</w:t>
      </w:r>
    </w:p>
    <w:p w14:paraId="78EB80CB" w14:textId="23E57345" w:rsidR="001F27F4" w:rsidRDefault="000D3AE5" w:rsidP="009571C6">
      <w:pPr>
        <w:pStyle w:val="Heading5"/>
      </w:pPr>
      <w:r>
        <w:t>Dressing the Upper Body</w:t>
      </w:r>
    </w:p>
    <w:p w14:paraId="759D48D1" w14:textId="64C58CE0" w:rsidR="00A662E6" w:rsidRDefault="006D088C" w:rsidP="00A662E6">
      <w:r w:rsidRPr="006D088C">
        <w:t>How the person dresses and undresses (street clothes, underwear) above the waist, including prostheses, orthotics, fasteners, pullovers, and so on.</w:t>
      </w:r>
    </w:p>
    <w:p w14:paraId="394C4618" w14:textId="33C155D9" w:rsidR="001F27F4" w:rsidRDefault="000D3AE5" w:rsidP="009571C6">
      <w:pPr>
        <w:pStyle w:val="Heading5"/>
      </w:pPr>
      <w:r>
        <w:t>Dressing the Lower Body</w:t>
      </w:r>
    </w:p>
    <w:p w14:paraId="2CAC3226" w14:textId="62B69B0D" w:rsidR="006D088C" w:rsidRDefault="006D088C" w:rsidP="006D088C">
      <w:r w:rsidRPr="006D088C">
        <w:t>How the person dresses and undresses (street clothes, underwear) from the waist down, including prostheses, orthotics, belts, pants, skirts, shoes, fasteners, and so on.</w:t>
      </w:r>
    </w:p>
    <w:p w14:paraId="64A1C1C3" w14:textId="34DE7558" w:rsidR="001F27F4" w:rsidRDefault="000D3AE5" w:rsidP="009571C6">
      <w:pPr>
        <w:pStyle w:val="Heading5"/>
      </w:pPr>
      <w:r>
        <w:t>Walking</w:t>
      </w:r>
    </w:p>
    <w:p w14:paraId="3DB41160" w14:textId="5F254D8E" w:rsidR="006D088C" w:rsidRDefault="006D088C" w:rsidP="006D088C">
      <w:r w:rsidRPr="006D088C">
        <w:t>How the person walks between locations on the same floor indoors.</w:t>
      </w:r>
    </w:p>
    <w:p w14:paraId="2798A0DD" w14:textId="6C27B5A8" w:rsidR="001F27F4" w:rsidRDefault="000D3AE5" w:rsidP="009571C6">
      <w:pPr>
        <w:pStyle w:val="Heading5"/>
      </w:pPr>
      <w:r>
        <w:t>Locomotion</w:t>
      </w:r>
    </w:p>
    <w:p w14:paraId="3EC0107A" w14:textId="79ADFC0A" w:rsidR="006D088C" w:rsidRDefault="006D088C" w:rsidP="006D088C">
      <w:r w:rsidRPr="006D088C">
        <w:t>How the person moves between locations on the same floor, walking or wheeling. If the person uses a wheelchair, this measures self-sufficiency once they are in the chair.</w:t>
      </w:r>
    </w:p>
    <w:p w14:paraId="71C6DE17" w14:textId="0F2D1C13" w:rsidR="001F27F4" w:rsidRDefault="000D3AE5" w:rsidP="009571C6">
      <w:pPr>
        <w:pStyle w:val="Heading5"/>
      </w:pPr>
      <w:r>
        <w:t>Transfer Toilet</w:t>
      </w:r>
    </w:p>
    <w:p w14:paraId="3B002932" w14:textId="5770F6E7" w:rsidR="006D088C" w:rsidRDefault="006D088C" w:rsidP="006D088C">
      <w:r w:rsidRPr="006D088C">
        <w:t>How the person moves on and off the toilet or commode.</w:t>
      </w:r>
    </w:p>
    <w:p w14:paraId="26016684" w14:textId="5CC05059" w:rsidR="001F27F4" w:rsidRDefault="000D3AE5" w:rsidP="009571C6">
      <w:pPr>
        <w:pStyle w:val="Heading5"/>
      </w:pPr>
      <w:r>
        <w:t>Toilet Use</w:t>
      </w:r>
    </w:p>
    <w:p w14:paraId="51AEE5FC" w14:textId="3A2B249E" w:rsidR="006D088C" w:rsidRDefault="006D088C" w:rsidP="006D088C">
      <w:r w:rsidRPr="006D088C">
        <w:t>How the person uses the toilet room or commode or bedpan or urinal. How the person cleanses themselves after toilet use or incontinent episodes. How the person changes a bed pad, manages ostomy or catheters, and adjusts their clothes. This item does not include transferring on and off the toilet.</w:t>
      </w:r>
    </w:p>
    <w:p w14:paraId="41E94EC1" w14:textId="3222EED5" w:rsidR="001F27F4" w:rsidRDefault="000D3AE5" w:rsidP="009571C6">
      <w:pPr>
        <w:pStyle w:val="Heading5"/>
      </w:pPr>
      <w:r>
        <w:t>Bed Mobility</w:t>
      </w:r>
    </w:p>
    <w:p w14:paraId="4599D9A8" w14:textId="2148D87B" w:rsidR="006D088C" w:rsidRDefault="006D088C" w:rsidP="006D088C">
      <w:r w:rsidRPr="006D088C">
        <w:t>How the person moves to and from a lying down position, turns from side to side, and positions their body while in bed.</w:t>
      </w:r>
    </w:p>
    <w:p w14:paraId="5C0740D5" w14:textId="6E76F621" w:rsidR="001F27F4" w:rsidRDefault="000D3AE5" w:rsidP="009571C6">
      <w:pPr>
        <w:pStyle w:val="Heading5"/>
      </w:pPr>
      <w:r>
        <w:lastRenderedPageBreak/>
        <w:t>Eating</w:t>
      </w:r>
    </w:p>
    <w:p w14:paraId="13BAA26D" w14:textId="0E6BAC06" w:rsidR="006D088C" w:rsidRDefault="006D088C" w:rsidP="006D088C">
      <w:r w:rsidRPr="006D088C">
        <w:t>How the person eats and drinks regardless of skill. It includes the intake of nutrition by other means such as a feeding tube or total parenteral nutrition.</w:t>
      </w:r>
    </w:p>
    <w:p w14:paraId="7AD5CF08" w14:textId="289AEF7D" w:rsidR="001F27F4" w:rsidRDefault="000D3AE5" w:rsidP="009571C6">
      <w:pPr>
        <w:pStyle w:val="Heading4"/>
      </w:pPr>
      <w:r>
        <w:t>FED – Section D – Key Assessors of ADL</w:t>
      </w:r>
    </w:p>
    <w:p w14:paraId="40FFD07C" w14:textId="77777777" w:rsidR="000D3AE5" w:rsidRDefault="000D3AE5" w:rsidP="006A2D41">
      <w:r>
        <w:t>Let’s go over some key terms that assessors must know to accurately assess activities of daily living.</w:t>
      </w:r>
    </w:p>
    <w:p w14:paraId="4CF57580" w14:textId="78C02F56" w:rsidR="001F27F4" w:rsidRDefault="000D3AE5" w:rsidP="009571C6">
      <w:pPr>
        <w:pStyle w:val="Heading5"/>
      </w:pPr>
      <w:r>
        <w:t>Setup Help</w:t>
      </w:r>
    </w:p>
    <w:p w14:paraId="6BBA4D64" w14:textId="77777777" w:rsidR="00E13C82" w:rsidRDefault="00E13C82" w:rsidP="00E13C82">
      <w:r>
        <w:t xml:space="preserve">Setup help means that someone assists the person by providing articles, devices, or any other kind of preparation necessary for the person to perform an activity by themselves. </w:t>
      </w:r>
    </w:p>
    <w:p w14:paraId="2D3B0685" w14:textId="77777777" w:rsidR="00E13C82" w:rsidRDefault="00E13C82" w:rsidP="00E13C82">
      <w:r>
        <w:t>This could include handing the person an item. If the person hands them a brush and then remains nearby to watch over the person, that would be supervision. Setup help could include handing the person a walker or cane. It could be handing the person a bedpan. It could be placing all the items necessary for the person to manage their ostomy appliance. It could include cutting meat or opening containers.</w:t>
      </w:r>
    </w:p>
    <w:p w14:paraId="7D7EA517" w14:textId="6121345A" w:rsidR="00E13C82" w:rsidRDefault="00E13C82" w:rsidP="00E13C82">
      <w:r>
        <w:t>Setup simply refers to providing a tool or service so that the person can perform an activity.</w:t>
      </w:r>
    </w:p>
    <w:p w14:paraId="290BDD7E" w14:textId="66260B6F" w:rsidR="001F27F4" w:rsidRDefault="000D3AE5" w:rsidP="009571C6">
      <w:pPr>
        <w:pStyle w:val="Heading5"/>
      </w:pPr>
      <w:r>
        <w:t>Weight Bearing</w:t>
      </w:r>
    </w:p>
    <w:p w14:paraId="518D58B5" w14:textId="77777777" w:rsidR="00E13C82" w:rsidRDefault="00E13C82" w:rsidP="00E13C82">
      <w:r>
        <w:t>Weight bearing assistance is different than setup help or guidance support.</w:t>
      </w:r>
    </w:p>
    <w:p w14:paraId="720140D8" w14:textId="5AAD45A2" w:rsidR="00E13C82" w:rsidRDefault="00E13C82" w:rsidP="00E13C82">
      <w:r>
        <w:t>The level of weight bearing support is crucial. It is important to differentiate between guiding movements with minimal physical contact and taking someone</w:t>
      </w:r>
      <w:r w:rsidR="00E74324">
        <w:t>’</w:t>
      </w:r>
      <w:r>
        <w:t>s weight.</w:t>
      </w:r>
    </w:p>
    <w:p w14:paraId="48BEB746" w14:textId="64A8EB7A" w:rsidR="00E13C82" w:rsidRDefault="00E13C82" w:rsidP="00E13C82">
      <w:r>
        <w:t>If the individual requires someone to hold them under their armpits in order to stand, that is weight bearing. If the person only requires minimal physical contact because they might get wobbly when standing, that is not weight bearing. If a person needs a caregiver to guide their arms into a sleeve (due to a lack of feeling in their hands), that is guidance, not weight bearing. If the person cannot lift their arms (due to shoulder injuries or sarcopenia), then the assistance is weight bearing. The caregiver must lift the arm for the person.</w:t>
      </w:r>
    </w:p>
    <w:p w14:paraId="05B108B8" w14:textId="0287C2A6" w:rsidR="001F27F4" w:rsidRDefault="000D3AE5" w:rsidP="009571C6">
      <w:pPr>
        <w:pStyle w:val="Heading5"/>
      </w:pPr>
      <w:r>
        <w:t>Supervision</w:t>
      </w:r>
    </w:p>
    <w:p w14:paraId="3382F46C" w14:textId="77777777" w:rsidR="00E13C82" w:rsidRDefault="00E13C82" w:rsidP="00E13C82">
      <w:r>
        <w:t>Supervision is assistance characterized by a helper remaining nearby to watch over or verbally prompt the person during ADL activities.</w:t>
      </w:r>
    </w:p>
    <w:p w14:paraId="6D63A08A" w14:textId="77777777" w:rsidR="00E13C82" w:rsidRDefault="00E13C82" w:rsidP="00E13C82">
      <w:r>
        <w:t>If the person is receiving ongoing oversight of the activity, the score would be “2” for “Supervision.”</w:t>
      </w:r>
    </w:p>
    <w:p w14:paraId="270D70C7" w14:textId="46CD47A0" w:rsidR="00E13C82" w:rsidRDefault="00E13C82" w:rsidP="00E13C82">
      <w:r>
        <w:lastRenderedPageBreak/>
        <w:t>Note that the focus is on observing the action and being prepared to step in when needed; simple social visiting as an activity occurs (for example, transfer from a chair) should not be scored as supervision.</w:t>
      </w:r>
    </w:p>
    <w:p w14:paraId="150E9C96" w14:textId="4241CBC0" w:rsidR="001F27F4" w:rsidRDefault="000D3AE5" w:rsidP="009571C6">
      <w:pPr>
        <w:pStyle w:val="Heading5"/>
      </w:pPr>
      <w:r>
        <w:t>Activity Did Not Occur</w:t>
      </w:r>
    </w:p>
    <w:p w14:paraId="5B02D619" w14:textId="77777777" w:rsidR="00E13C82" w:rsidRDefault="00E13C82" w:rsidP="00E13C82">
      <w:r>
        <w:t>Do not confuse total dependence in an ADL activity (code “6”) with nonoccurrence of the activity itself (code “8”).</w:t>
      </w:r>
    </w:p>
    <w:p w14:paraId="1D41B5F2" w14:textId="77777777" w:rsidR="00E13C82" w:rsidRDefault="00E13C82" w:rsidP="00E13C82">
      <w:r>
        <w:t>For example, even a person who receives tube feedings and no food or fluids by mouth is engaged in eating (receiving nourishment) and should be evaluated under the eating category for the level of assistance provided in the process.</w:t>
      </w:r>
    </w:p>
    <w:p w14:paraId="00B2B60F" w14:textId="473AA0D4" w:rsidR="00E13C82" w:rsidRDefault="00E13C82" w:rsidP="00E13C82">
      <w:r>
        <w:t>A person who is highly involved in giving him- or herself a tube feeding is not totally dependent and should not be coded as “6” but as a lower code, depending on the amount of the assistance from others.</w:t>
      </w:r>
    </w:p>
    <w:p w14:paraId="669941C3" w14:textId="24DB29E7" w:rsidR="001F27F4" w:rsidRDefault="000D3AE5" w:rsidP="009571C6">
      <w:pPr>
        <w:pStyle w:val="Heading4"/>
      </w:pPr>
      <w:r>
        <w:t>FED – Section D – Functional Status – Coding ADLs</w:t>
      </w:r>
    </w:p>
    <w:p w14:paraId="091074C1" w14:textId="77777777" w:rsidR="000D3AE5" w:rsidRDefault="000D3AE5" w:rsidP="006A2D41">
      <w:r>
        <w:t>To describe functioning, the assessor should first get a sense of the number of times, or “episodes,” of each ADL activity. When ADL self-performance in a task varies over the last three days, identify the three most dependent episodes—that is, the episodes when the person received the greatest care or assistance from others. Use the three most dependent episodes to develop the ADL scores.</w:t>
      </w:r>
    </w:p>
    <w:p w14:paraId="787671FD" w14:textId="77777777" w:rsidR="000D3AE5" w:rsidRDefault="000D3AE5" w:rsidP="006A2D41">
      <w:r>
        <w:t>Engage family (or, when possible, formal home care staff who have cared for the person over the last three days) in discussions regarding the person’s ADL functions. Remind them that the focus is on the last three days only. To clarify your own understanding and observations about each ADL activity, ask probing questions, beginning with the general and proceeding to the more specific.</w:t>
      </w:r>
    </w:p>
    <w:p w14:paraId="5D7C0A87" w14:textId="77777777" w:rsidR="000D3AE5" w:rsidRDefault="000D3AE5" w:rsidP="006A2D41">
      <w:r>
        <w:t>Do not base your assessment on the person’s capacity for involvement in self-care—that is, what you believe the person could do for him- or herself. In addition, do not record the level of assistance you believe the person “should” be receiving (for example, based on a written plan of care or expectations the family may have). The type and level of assistance actually provided might be quite different from what is indicated in a care plan. Record what is actually happening.</w:t>
      </w:r>
    </w:p>
    <w:p w14:paraId="4F91C688" w14:textId="6BCACD5F" w:rsidR="000D3AE5" w:rsidRDefault="000D3AE5" w:rsidP="006A2D41">
      <w:pPr>
        <w:rPr>
          <w:rFonts w:ascii="Microsoft Sans Serif" w:hAnsi="Microsoft Sans Serif" w:cs="Microsoft Sans Serif"/>
          <w:sz w:val="17"/>
          <w:szCs w:val="17"/>
        </w:rPr>
      </w:pPr>
      <w:r>
        <w:t>In order to summarize ADL self-performance, gather information as follows</w:t>
      </w:r>
      <w:r w:rsidR="00457246">
        <w:t>:</w:t>
      </w:r>
    </w:p>
    <w:p w14:paraId="24058C5E" w14:textId="77777777" w:rsidR="00457246" w:rsidRDefault="00457246" w:rsidP="00457246">
      <w:pPr>
        <w:pStyle w:val="ListParagraph"/>
        <w:numPr>
          <w:ilvl w:val="0"/>
          <w:numId w:val="3"/>
        </w:numPr>
      </w:pPr>
      <w:r>
        <w:t>Observe how the person is performing each task.</w:t>
      </w:r>
    </w:p>
    <w:p w14:paraId="03E6BC1B" w14:textId="77777777" w:rsidR="00457246" w:rsidRDefault="00457246" w:rsidP="00457246">
      <w:pPr>
        <w:pStyle w:val="ListParagraph"/>
        <w:numPr>
          <w:ilvl w:val="0"/>
          <w:numId w:val="3"/>
        </w:numPr>
      </w:pPr>
      <w:r>
        <w:t>Talk with the person to ascertain what he or she does for him- or herself in each ADL, as well as the type and level of assistance provided by others.</w:t>
      </w:r>
    </w:p>
    <w:p w14:paraId="45CB1600" w14:textId="77777777" w:rsidR="00457246" w:rsidRDefault="00457246" w:rsidP="00457246">
      <w:pPr>
        <w:pStyle w:val="ListParagraph"/>
        <w:numPr>
          <w:ilvl w:val="0"/>
          <w:numId w:val="3"/>
        </w:numPr>
      </w:pPr>
      <w:r>
        <w:t>If possible, talk with immediate caregivers or family members.</w:t>
      </w:r>
    </w:p>
    <w:p w14:paraId="1B17CEB3" w14:textId="2A969F02" w:rsidR="00457246" w:rsidRDefault="00457246" w:rsidP="00457246">
      <w:pPr>
        <w:pStyle w:val="ListParagraph"/>
        <w:numPr>
          <w:ilvl w:val="0"/>
          <w:numId w:val="3"/>
        </w:numPr>
      </w:pPr>
      <w:r>
        <w:t xml:space="preserve">Get information pertaining to all aspects of the ADL definitions. For example, when discussing “Personal hygiene” (Item G5c), inquire how the person manages washing in the morning, combing hair, brushing teeth, and shaving. A person can be </w:t>
      </w:r>
      <w:r>
        <w:lastRenderedPageBreak/>
        <w:t>independent in one aspect of personal hygiene yet require extensive assistance in another aspect.</w:t>
      </w:r>
    </w:p>
    <w:p w14:paraId="0127D732" w14:textId="2512B7E0" w:rsidR="00457246" w:rsidRDefault="00457246" w:rsidP="006A2D41">
      <w:pPr>
        <w:pStyle w:val="ListParagraph"/>
        <w:numPr>
          <w:ilvl w:val="0"/>
          <w:numId w:val="3"/>
        </w:numPr>
      </w:pPr>
      <w:r>
        <w:t>Finally, weigh all responses to come up with a consistent picture of the person’s ADL performance for each task.</w:t>
      </w:r>
    </w:p>
    <w:p w14:paraId="376AA91C" w14:textId="60A21323" w:rsidR="001F27F4" w:rsidRDefault="000D3AE5" w:rsidP="009571C6">
      <w:pPr>
        <w:pStyle w:val="Heading4"/>
      </w:pPr>
      <w:r>
        <w:t>FED – Section D – Functional Status – Coding</w:t>
      </w:r>
    </w:p>
    <w:p w14:paraId="107E3BB5" w14:textId="77777777" w:rsidR="000D3AE5" w:rsidRDefault="000D3AE5" w:rsidP="006A2D41">
      <w:r>
        <w:t>The coding for ADLs is as follows:</w:t>
      </w:r>
    </w:p>
    <w:p w14:paraId="55C54573" w14:textId="762D0BC7" w:rsidR="000D3AE5" w:rsidRDefault="000D3AE5" w:rsidP="006A2D41">
      <w:r>
        <w:t>0. Independent. No physical assistance, setup, or supervision in any episode.</w:t>
      </w:r>
    </w:p>
    <w:p w14:paraId="0C063D8C" w14:textId="77777777" w:rsidR="000D3AE5" w:rsidRDefault="000D3AE5" w:rsidP="006A2D41">
      <w:r>
        <w:t>1.  Independent, setup help only. Articles, tools, or devices were provided or placed within reach, but there was no physical assistance or supervision in any episode. This could include a caregiver laying out all of the items necessary to change an ostomy appliance. It could be a caregiver setting up pots, pans, and cutting boards to assist in meal preparation.</w:t>
      </w:r>
    </w:p>
    <w:p w14:paraId="6673E57F" w14:textId="6CCFAD02" w:rsidR="000D3AE5" w:rsidRDefault="000D3AE5" w:rsidP="006A2D41">
      <w:r>
        <w:t>2. Supervision. The person required oversight or cueing to complete the task. This could be more prevalent when the person is experiencing cognitive decline. The caregiver may set out the person’s clothes and remind them to change from pajamas to appropriate day wear. The caregiver may stay in the bedroom to ensure that the individual puts on their clothing accurately and completely.</w:t>
      </w:r>
    </w:p>
    <w:p w14:paraId="0738177A" w14:textId="561B3511" w:rsidR="000D3AE5" w:rsidRDefault="000D3AE5" w:rsidP="006A2D41">
      <w:r>
        <w:t>3. Limited assistance. Limited assistance includes guided maneuvering of limbs and physical guidance without taking weight. This could include guiding a hand or arm into a sleeve without taking the weight of the arm. The person lifted their arm on their own.</w:t>
      </w:r>
    </w:p>
    <w:p w14:paraId="0DE94ABC" w14:textId="5B6F40F1" w:rsidR="000D3AE5" w:rsidRDefault="000D3AE5" w:rsidP="006A2D41">
      <w:r>
        <w:t>4. Extensive assistance. This is weight-bearing support including lifting limbs by one helper with the person still performing 50% or more of the task. Only one helper is needed, and that helper provides weight-bearing support, including lifting limbs. This would include supporting an individual who could not lift their arm into a sleeve. If the caregiver had to lift the arm up into the sleeve, taking the weight of the arm, that would be coded as extensive assistance.</w:t>
      </w:r>
    </w:p>
    <w:p w14:paraId="49E4D69A" w14:textId="53CF86B2" w:rsidR="000D3AE5" w:rsidRDefault="000D3AE5" w:rsidP="006A2D41">
      <w:r>
        <w:t xml:space="preserve">5. Maximal assistance. This is weight-bearing support including lifting limbs by two or more helpers. It can include weight-bearing support for more than 50% of the task. If two caregivers are required to maneuver an individual into a shower chair, that would be maximal assistance. If the person requires a lift system to get out of bed, that is maximal assistance. </w:t>
      </w:r>
    </w:p>
    <w:p w14:paraId="6B09B6A6" w14:textId="15114D4F" w:rsidR="000D3AE5" w:rsidRDefault="000D3AE5" w:rsidP="006A2D41">
      <w:r>
        <w:t xml:space="preserve">6. Total dependence. In a situation of total dependence, the entire task is performed by others in all episodes. That is full performance by others during all episodes. </w:t>
      </w:r>
    </w:p>
    <w:p w14:paraId="6EB0DCF0" w14:textId="3965B317" w:rsidR="000D3AE5" w:rsidRDefault="000D3AE5" w:rsidP="006A2D41">
      <w:pPr>
        <w:rPr>
          <w:rFonts w:ascii="Microsoft Sans Serif" w:hAnsi="Microsoft Sans Serif" w:cs="Microsoft Sans Serif"/>
          <w:sz w:val="17"/>
          <w:szCs w:val="17"/>
        </w:rPr>
      </w:pPr>
      <w:r>
        <w:t>8. Activity did not occur during the entire period. This is occasionally confused with a person</w:t>
      </w:r>
      <w:r w:rsidR="000F1781">
        <w:t>’</w:t>
      </w:r>
      <w:r>
        <w:t>s total dependence in an ADL activity. Non-occurrence is non-occurrence regardless of the person</w:t>
      </w:r>
      <w:r w:rsidR="000F1781">
        <w:t>’</w:t>
      </w:r>
      <w:r>
        <w:t>s ability to self-perform. If the person did not bathe in the three-day observation period, the coding is “8.” The comments section is used to provide reasons and context.</w:t>
      </w:r>
    </w:p>
    <w:p w14:paraId="5C79EBDF" w14:textId="1ACE20E5" w:rsidR="001F27F4" w:rsidRDefault="000D3AE5" w:rsidP="009571C6">
      <w:pPr>
        <w:pStyle w:val="Heading4"/>
      </w:pPr>
      <w:r>
        <w:lastRenderedPageBreak/>
        <w:t>Coding When Performance Varies</w:t>
      </w:r>
    </w:p>
    <w:p w14:paraId="27731CD8" w14:textId="77777777" w:rsidR="000D3AE5" w:rsidRDefault="000D3AE5" w:rsidP="006A2D41">
      <w:r>
        <w:t>Sometimes, the performance of ADLs may vary over the assessment period. In this case, use the following guidelines.</w:t>
      </w:r>
    </w:p>
    <w:p w14:paraId="080B9196" w14:textId="77777777" w:rsidR="000D3AE5" w:rsidRDefault="000D3AE5" w:rsidP="006A2D41">
      <w:r>
        <w:t xml:space="preserve">To describe functioning, the assessor should first get a sense of the number of times, or “episodes,” of each ADL activity occurrence over the course of the three-day look back, which includes the date of assessment. </w:t>
      </w:r>
    </w:p>
    <w:p w14:paraId="378487E4" w14:textId="77777777" w:rsidR="000D3AE5" w:rsidRDefault="000D3AE5" w:rsidP="006A2D41">
      <w:r>
        <w:t>When an ADL occurs three or more times, pick the three most dependent episodes (if only two episodes occurred, use both) and code the least dependent (lowest score) among those selected episodes.</w:t>
      </w:r>
    </w:p>
    <w:p w14:paraId="1BBFF97D" w14:textId="77777777" w:rsidR="000D3AE5" w:rsidRDefault="000D3AE5" w:rsidP="006A2D41">
      <w:pPr>
        <w:rPr>
          <w:rFonts w:ascii="Microsoft Sans Serif" w:hAnsi="Microsoft Sans Serif" w:cs="Microsoft Sans Serif"/>
          <w:sz w:val="17"/>
          <w:szCs w:val="17"/>
        </w:rPr>
      </w:pPr>
      <w:r>
        <w:t>Please refer to the Case Study Guide for specific examples of coding when performance varies.</w:t>
      </w:r>
    </w:p>
    <w:p w14:paraId="6C85C13C" w14:textId="2AA556A9" w:rsidR="001F27F4" w:rsidRDefault="000D3AE5" w:rsidP="009571C6">
      <w:pPr>
        <w:pStyle w:val="Heading4"/>
      </w:pPr>
      <w:r>
        <w:t>FED – Section D – Bathing</w:t>
      </w:r>
    </w:p>
    <w:p w14:paraId="4BE0F5D7" w14:textId="77777777" w:rsidR="000D3AE5" w:rsidRDefault="000D3AE5" w:rsidP="006A2D41">
      <w:r>
        <w:t>To illustrate consistent coding, we’ll review case studies involving bathing, walking, and toileting.</w:t>
      </w:r>
    </w:p>
    <w:p w14:paraId="1F4417D4" w14:textId="77777777" w:rsidR="000D3AE5" w:rsidRDefault="000D3AE5" w:rsidP="006A2D41">
      <w:r>
        <w:t>We’ll start with bathing. Let’s review the definitions of bathing, bath transfer, and personal hygiene to be clear on the differences.</w:t>
      </w:r>
    </w:p>
    <w:p w14:paraId="11A7767F" w14:textId="77777777" w:rsidR="000D3AE5" w:rsidRDefault="000D3AE5" w:rsidP="006A2D41">
      <w:r>
        <w:t xml:space="preserve">Bathing. This refers to how the person takes a full-body bath or shower. This does not include washing the back and the hair. </w:t>
      </w:r>
    </w:p>
    <w:p w14:paraId="34BEE56E" w14:textId="77777777" w:rsidR="000D3AE5" w:rsidRDefault="000D3AE5" w:rsidP="006A2D41">
      <w:r>
        <w:t>Bath Transfer. This refers to how the person transfers in and out of the bath or shower.</w:t>
      </w:r>
    </w:p>
    <w:p w14:paraId="040AF0A6" w14:textId="7E8D6B8E" w:rsidR="000D3AE5" w:rsidRDefault="000D3AE5" w:rsidP="006A2D41">
      <w:r w:rsidRPr="005A2C0D">
        <w:t>Personal hygiene. How does the person manage their personal hygiene</w:t>
      </w:r>
      <w:r w:rsidR="000F1781" w:rsidRPr="005A2C0D">
        <w:t>,</w:t>
      </w:r>
      <w:r w:rsidRPr="005A2C0D">
        <w:t xml:space="preserve"> including</w:t>
      </w:r>
      <w:r>
        <w:t xml:space="preserve"> combing their hair, brushing their teeth, shaving, applying makeup, and washing the face and hands. This excludes baths and showers. It does include hair washing and using the sink to bathe when the person does not use the bathtub or shower.</w:t>
      </w:r>
    </w:p>
    <w:p w14:paraId="5A05315D" w14:textId="77777777" w:rsidR="000D3AE5" w:rsidRDefault="000D3AE5" w:rsidP="006A2D41">
      <w:r>
        <w:t>Bathing and Bath Transfer are combined when the system scores for functional eligibility. Each item will be scored independently but combined into a single measure by selecting the most dependent score between the two.</w:t>
      </w:r>
    </w:p>
    <w:p w14:paraId="01BC755E" w14:textId="372FF5A3" w:rsidR="000D3AE5" w:rsidRDefault="000D3AE5" w:rsidP="006A2D41">
      <w:r>
        <w:t>For example, during the three-day look</w:t>
      </w:r>
      <w:r w:rsidR="002D6361">
        <w:t>-</w:t>
      </w:r>
      <w:r>
        <w:t>back period, if all bathing episodes are scored as “1” (Independent) and all bath transfer episodes are scored as “3” (Limited Assistance), the combined bathing/bath transfer score used for bathing would be “3.”</w:t>
      </w:r>
    </w:p>
    <w:p w14:paraId="3825ACC4" w14:textId="77777777" w:rsidR="000D3AE5" w:rsidRDefault="000D3AE5" w:rsidP="006A2D41">
      <w:pPr>
        <w:rPr>
          <w:rFonts w:ascii="Microsoft Sans Serif" w:hAnsi="Microsoft Sans Serif" w:cs="Microsoft Sans Serif"/>
          <w:sz w:val="17"/>
          <w:szCs w:val="17"/>
        </w:rPr>
      </w:pPr>
      <w:r>
        <w:t>Please review the examples in the Case Study Guide.</w:t>
      </w:r>
    </w:p>
    <w:p w14:paraId="75DBAAA4" w14:textId="5CD663E4" w:rsidR="001F27F4" w:rsidRDefault="000D3AE5" w:rsidP="009571C6">
      <w:pPr>
        <w:pStyle w:val="Heading4"/>
      </w:pPr>
      <w:r>
        <w:t>FED – Section D – Walking and Locomotion</w:t>
      </w:r>
    </w:p>
    <w:p w14:paraId="6D815920" w14:textId="77777777" w:rsidR="000D3AE5" w:rsidRDefault="000D3AE5" w:rsidP="006A2D41">
      <w:r>
        <w:t>Now, let’s review walking and locomotion.</w:t>
      </w:r>
    </w:p>
    <w:p w14:paraId="7581F154" w14:textId="77777777" w:rsidR="000D3AE5" w:rsidRDefault="000D3AE5" w:rsidP="006A2D41">
      <w:r>
        <w:t>As a reminder, the definitions are:</w:t>
      </w:r>
    </w:p>
    <w:p w14:paraId="3EB41226" w14:textId="77777777" w:rsidR="000D3AE5" w:rsidRDefault="000D3AE5" w:rsidP="006A2D41">
      <w:r>
        <w:lastRenderedPageBreak/>
        <w:t>Walking. How the person walks between locations on the same floor indoors.</w:t>
      </w:r>
    </w:p>
    <w:p w14:paraId="4AF6DAB6" w14:textId="77777777" w:rsidR="000D3AE5" w:rsidRDefault="000D3AE5" w:rsidP="006A2D41">
      <w:r>
        <w:t>Locomotion. How the person moves between locations on the same floor, walking or wheeling. If the person uses a wheelchair, this measures self-sufficiency once he or she is in the chair.</w:t>
      </w:r>
    </w:p>
    <w:p w14:paraId="2C6469B9" w14:textId="77777777" w:rsidR="000D3AE5" w:rsidRDefault="000D3AE5" w:rsidP="006A2D41">
      <w:r>
        <w:t>Walking and Locomotion are ADL categories in the interRAI and are coded separately.</w:t>
      </w:r>
    </w:p>
    <w:p w14:paraId="4FE88DD4" w14:textId="77777777" w:rsidR="000D3AE5" w:rsidRDefault="000D3AE5" w:rsidP="006A2D41">
      <w:r>
        <w:t>Primary Mode of Locomotion is a mobility category in the interRAI. It is also coded separately.</w:t>
      </w:r>
    </w:p>
    <w:p w14:paraId="391C8E87" w14:textId="77777777" w:rsidR="000D3AE5" w:rsidRDefault="000D3AE5" w:rsidP="006A2D41">
      <w:pPr>
        <w:rPr>
          <w:rFonts w:ascii="Microsoft Sans Serif" w:hAnsi="Microsoft Sans Serif" w:cs="Microsoft Sans Serif"/>
          <w:sz w:val="17"/>
          <w:szCs w:val="17"/>
        </w:rPr>
      </w:pPr>
      <w:r>
        <w:t>Please review the examples in the Case Study Guide.</w:t>
      </w:r>
    </w:p>
    <w:p w14:paraId="3AAF1154" w14:textId="6BF74507" w:rsidR="001F27F4" w:rsidRDefault="000D3AE5" w:rsidP="009571C6">
      <w:pPr>
        <w:pStyle w:val="Heading4"/>
      </w:pPr>
      <w:r>
        <w:t>FED – Section D – Toileting</w:t>
      </w:r>
    </w:p>
    <w:p w14:paraId="5D67792B" w14:textId="77777777" w:rsidR="000D3AE5" w:rsidRDefault="000D3AE5" w:rsidP="006A2D41">
      <w:r>
        <w:t>Finally, let’s review the two categories related to toileting. As a reminder, the definitions are:</w:t>
      </w:r>
    </w:p>
    <w:p w14:paraId="53D232A1" w14:textId="77777777" w:rsidR="000D3AE5" w:rsidRDefault="000D3AE5" w:rsidP="006A2D41">
      <w:r>
        <w:t>Transfer Toilet. How the person moves on and off the toilet or commode.</w:t>
      </w:r>
    </w:p>
    <w:p w14:paraId="40BFE5E3" w14:textId="77777777" w:rsidR="000D3AE5" w:rsidRDefault="000D3AE5" w:rsidP="006A2D41">
      <w:r>
        <w:t>Toilet Use. How the person uses the toilet room or commode or bedpan or urinal. How the person cleanses themselves after toilet use or incontinent episodes. How the person changes a bed pad, manages ostomy or catheters, and adjusts their clothes. This item does not include transfer on and off the toilet.</w:t>
      </w:r>
    </w:p>
    <w:p w14:paraId="4E111208" w14:textId="77777777" w:rsidR="000D3AE5" w:rsidRDefault="000D3AE5" w:rsidP="006A2D41">
      <w:pPr>
        <w:rPr>
          <w:rFonts w:ascii="Microsoft Sans Serif" w:hAnsi="Microsoft Sans Serif" w:cs="Microsoft Sans Serif"/>
          <w:sz w:val="17"/>
          <w:szCs w:val="17"/>
        </w:rPr>
      </w:pPr>
      <w:r>
        <w:t>Please review the examples in the Case Study Guide.</w:t>
      </w:r>
    </w:p>
    <w:p w14:paraId="5BB6ACC9" w14:textId="4DECF579" w:rsidR="001F27F4" w:rsidRDefault="000D3AE5" w:rsidP="009571C6">
      <w:pPr>
        <w:pStyle w:val="Heading4"/>
      </w:pPr>
      <w:r>
        <w:t>FED – Section D – Primary Mode of Locomotion</w:t>
      </w:r>
    </w:p>
    <w:p w14:paraId="1318944F" w14:textId="77777777" w:rsidR="000D3AE5" w:rsidRDefault="000D3AE5" w:rsidP="006A2D41">
      <w:r>
        <w:t>The next category is Primary Mode of Locomotion. This is related to the ADL of walking and locomotion and focuses on the use of assistive devices. The assessor records the primary mode of locomotion and any types of appliances, aids, or assistive devices the person used over the last three days indoors.</w:t>
      </w:r>
    </w:p>
    <w:p w14:paraId="28D8B133" w14:textId="77777777" w:rsidR="000D3AE5" w:rsidRDefault="000D3AE5" w:rsidP="006A2D41">
      <w:r>
        <w:t>The definitions are:</w:t>
      </w:r>
    </w:p>
    <w:p w14:paraId="1C12BF9B" w14:textId="77777777" w:rsidR="000D3AE5" w:rsidRDefault="000D3AE5" w:rsidP="00FD6CB3">
      <w:pPr>
        <w:pStyle w:val="ListParagraph"/>
        <w:numPr>
          <w:ilvl w:val="0"/>
          <w:numId w:val="3"/>
        </w:numPr>
      </w:pPr>
      <w:r>
        <w:t>Cane. A slender stick held in the hand and used for support when walking.</w:t>
      </w:r>
    </w:p>
    <w:p w14:paraId="164D5B21" w14:textId="77777777" w:rsidR="000D3AE5" w:rsidRDefault="000D3AE5" w:rsidP="00FD6CB3">
      <w:pPr>
        <w:pStyle w:val="ListParagraph"/>
        <w:numPr>
          <w:ilvl w:val="0"/>
          <w:numId w:val="3"/>
        </w:numPr>
      </w:pPr>
      <w:r>
        <w:t>Crutch. A device for aiding a person with walking. Usually, it is a long staff with a padded crescent-shaped portion at the top that is placed in the armpit.</w:t>
      </w:r>
    </w:p>
    <w:p w14:paraId="30ADAED8" w14:textId="77777777" w:rsidR="000D3AE5" w:rsidRDefault="000D3AE5" w:rsidP="00FD6CB3">
      <w:pPr>
        <w:pStyle w:val="ListParagraph"/>
        <w:numPr>
          <w:ilvl w:val="0"/>
          <w:numId w:val="3"/>
        </w:numPr>
      </w:pPr>
      <w:r>
        <w:t>Scooter. Motorized vehicle operated by a person for use in getting from one location to another.</w:t>
      </w:r>
    </w:p>
    <w:p w14:paraId="1219749B" w14:textId="77777777" w:rsidR="000D3AE5" w:rsidRDefault="000D3AE5" w:rsidP="00FD6CB3">
      <w:pPr>
        <w:pStyle w:val="ListParagraph"/>
        <w:numPr>
          <w:ilvl w:val="0"/>
          <w:numId w:val="3"/>
        </w:numPr>
      </w:pPr>
      <w:r>
        <w:t>Walker. A mobile device used to assist a person that usually consists of a stable platform of metal tubing that the person grasps while taking a step. The person moves the walker forward for additional steps.</w:t>
      </w:r>
    </w:p>
    <w:p w14:paraId="59483AB7" w14:textId="77777777" w:rsidR="000D3AE5" w:rsidRDefault="000D3AE5" w:rsidP="006A2D41">
      <w:r>
        <w:t>The coding is as follows:</w:t>
      </w:r>
    </w:p>
    <w:p w14:paraId="43016C40" w14:textId="77777777" w:rsidR="000D3AE5" w:rsidRDefault="000D3AE5" w:rsidP="006A2D41">
      <w:r>
        <w:t>0. Walking. No assistive device.</w:t>
      </w:r>
    </w:p>
    <w:p w14:paraId="28A2B110" w14:textId="77777777" w:rsidR="000D3AE5" w:rsidRDefault="000D3AE5" w:rsidP="006A2D41">
      <w:r>
        <w:lastRenderedPageBreak/>
        <w:t>1. Walking. Uses assistive device.</w:t>
      </w:r>
    </w:p>
    <w:p w14:paraId="046F762D" w14:textId="77777777" w:rsidR="000D3AE5" w:rsidRDefault="000D3AE5" w:rsidP="006A2D41">
      <w:r>
        <w:t>2. Wheelchair or scooter.</w:t>
      </w:r>
    </w:p>
    <w:p w14:paraId="43155B23" w14:textId="77777777" w:rsidR="000D3AE5" w:rsidRDefault="000D3AE5" w:rsidP="006A2D41">
      <w:pPr>
        <w:rPr>
          <w:rFonts w:ascii="Microsoft Sans Serif" w:hAnsi="Microsoft Sans Serif" w:cs="Microsoft Sans Serif"/>
          <w:sz w:val="17"/>
          <w:szCs w:val="17"/>
        </w:rPr>
      </w:pPr>
      <w:r>
        <w:t>3. Bed bound.</w:t>
      </w:r>
    </w:p>
    <w:p w14:paraId="76747607" w14:textId="6FA481FF" w:rsidR="001F27F4" w:rsidRDefault="000D3AE5" w:rsidP="009571C6">
      <w:pPr>
        <w:pStyle w:val="Heading4"/>
      </w:pPr>
      <w:r>
        <w:t>FED – Section D – Functional Status – Medications</w:t>
      </w:r>
    </w:p>
    <w:p w14:paraId="2774262A" w14:textId="77777777" w:rsidR="000D3AE5" w:rsidRDefault="000D3AE5" w:rsidP="006A2D41">
      <w:r>
        <w:t>Managing Medication is included in the FED under Functional Status. It is in the interRAI Manual under Capacity for Completing Cognitively Based IADLs in section C2.  Managing medications includes several activities including remembering to take medicines, opening bottles, taking the correct dosages, giving injections, or applying ointments.</w:t>
      </w:r>
    </w:p>
    <w:p w14:paraId="5AA39032" w14:textId="77777777" w:rsidR="000D3AE5" w:rsidRDefault="000D3AE5" w:rsidP="006A2D41">
      <w:r>
        <w:t xml:space="preserve">Ask the person to describe how well he or she believes he or she could perform each of these tasks. First determine whether the person actually performed the activity safely and with no supervision, in which case the capacity would equal “0” for “Independent.” </w:t>
      </w:r>
    </w:p>
    <w:p w14:paraId="53E94CC4" w14:textId="3B4B66DA" w:rsidR="000D3AE5" w:rsidRDefault="000D3AE5" w:rsidP="006A2D41">
      <w:r>
        <w:t>If the person has not performed the task during the look</w:t>
      </w:r>
      <w:r w:rsidR="0031293C">
        <w:t>-</w:t>
      </w:r>
      <w:r>
        <w:t>back period, ask him or her to estimate how well he or she could perform each task. Use your own observations as you gather information to confirm or refute the person’s response. Speak to other caregivers and family if needed. Remember that because of lack of skills or experience, a person may not perform some activities but would be capable of doing so with the proper opportunity.</w:t>
      </w:r>
    </w:p>
    <w:p w14:paraId="1109F9D6" w14:textId="77777777" w:rsidR="000D3AE5" w:rsidRDefault="000D3AE5" w:rsidP="006A2D41">
      <w:r>
        <w:t>This item should be scored based on the person’s assumed capacity to perform it. This requires speculation by the assessor.</w:t>
      </w:r>
    </w:p>
    <w:p w14:paraId="23FE2AFE" w14:textId="77777777" w:rsidR="000D3AE5" w:rsidRDefault="000D3AE5" w:rsidP="006A2D41">
      <w:r>
        <w:t>There can be instances where the distinction between how a person performed an activity and their capacity is in question. Be aware that one’s capacity can be greater than the actual performance observed. For example, because of a lack of skills or experience, a person may not perform some activities but would be capable of doing so with the proper opportunity.</w:t>
      </w:r>
    </w:p>
    <w:p w14:paraId="45C0EA08" w14:textId="77777777" w:rsidR="000D3AE5" w:rsidRDefault="000D3AE5" w:rsidP="006A2D41">
      <w:r>
        <w:t>Therefore, it is important to distinguish between nonperformance that is due to impairment of capability (for example, caused by health problems) and nonperformance that is due to other factors (for example, not being given the opportunity to perform the tasks involved in the IADL).</w:t>
      </w:r>
    </w:p>
    <w:p w14:paraId="4ACCF800" w14:textId="6B7619A1" w:rsidR="000D3AE5" w:rsidRDefault="000D3AE5" w:rsidP="006A2D41">
      <w:r>
        <w:t>Assessors should still confirm whether the activity was performed during the three-day look</w:t>
      </w:r>
      <w:r w:rsidR="00A84AC4">
        <w:t>-</w:t>
      </w:r>
      <w:r>
        <w:t>back period.</w:t>
      </w:r>
    </w:p>
    <w:p w14:paraId="3452F42A" w14:textId="77777777" w:rsidR="000D3AE5" w:rsidRDefault="000D3AE5" w:rsidP="006A2D41">
      <w:r>
        <w:t>If the individual independently managed their medications during that timeframe, the item should be scored accordingly.</w:t>
      </w:r>
    </w:p>
    <w:p w14:paraId="246FFC4C" w14:textId="77777777" w:rsidR="000D3AE5" w:rsidRDefault="000D3AE5" w:rsidP="006A2D41">
      <w:r>
        <w:t>The coding is as follows:</w:t>
      </w:r>
    </w:p>
    <w:p w14:paraId="772EA315" w14:textId="77777777" w:rsidR="000D3AE5" w:rsidRDefault="000D3AE5" w:rsidP="006A2D41">
      <w:r>
        <w:t>0. Independent. No help, setup, or supervision in any episode.</w:t>
      </w:r>
    </w:p>
    <w:p w14:paraId="533354AA" w14:textId="77777777" w:rsidR="000D3AE5" w:rsidRDefault="000D3AE5" w:rsidP="006A2D41">
      <w:r>
        <w:lastRenderedPageBreak/>
        <w:t>1. Setup help only.</w:t>
      </w:r>
    </w:p>
    <w:p w14:paraId="7343D74B" w14:textId="77777777" w:rsidR="000D3AE5" w:rsidRDefault="000D3AE5" w:rsidP="006A2D41">
      <w:r>
        <w:t>2. Supervision. The person required oversight or cueing to complete the task.</w:t>
      </w:r>
    </w:p>
    <w:p w14:paraId="0CA75AC6" w14:textId="77777777" w:rsidR="000D3AE5" w:rsidRDefault="000D3AE5" w:rsidP="006A2D41">
      <w:r>
        <w:t>3. Limited assistance. Help required on some occasions.</w:t>
      </w:r>
    </w:p>
    <w:p w14:paraId="0B522198" w14:textId="77777777" w:rsidR="000D3AE5" w:rsidRDefault="000D3AE5" w:rsidP="006A2D41">
      <w:r>
        <w:t>4. Extensive assistance. Help is required throughout the task, but the person performs 50% or more of the task on their own.</w:t>
      </w:r>
    </w:p>
    <w:p w14:paraId="68DF7884" w14:textId="77777777" w:rsidR="000D3AE5" w:rsidRDefault="000D3AE5" w:rsidP="006A2D41">
      <w:r>
        <w:t>5. Maximal assistance. Help is required throughout the task, and the person performs less than 50% of the task on their own.</w:t>
      </w:r>
    </w:p>
    <w:p w14:paraId="601F57E9" w14:textId="77777777" w:rsidR="000D3AE5" w:rsidRDefault="000D3AE5" w:rsidP="006A2D41">
      <w:r>
        <w:t>6. Total dependence. Others must perform the activity during the entire period.</w:t>
      </w:r>
    </w:p>
    <w:p w14:paraId="1C0B144F" w14:textId="77777777" w:rsidR="000D3AE5" w:rsidRDefault="000D3AE5" w:rsidP="006A2D41">
      <w:pPr>
        <w:rPr>
          <w:rFonts w:ascii="Microsoft Sans Serif" w:hAnsi="Microsoft Sans Serif" w:cs="Microsoft Sans Serif"/>
          <w:sz w:val="17"/>
          <w:szCs w:val="17"/>
        </w:rPr>
      </w:pPr>
      <w:r>
        <w:t>Please review the examples in the Case Study Guide.</w:t>
      </w:r>
    </w:p>
    <w:p w14:paraId="39855CC4" w14:textId="13804992" w:rsidR="001F27F4" w:rsidRDefault="000D3AE5" w:rsidP="00E323CE">
      <w:pPr>
        <w:pStyle w:val="Heading3"/>
      </w:pPr>
      <w:bookmarkStart w:id="35" w:name="_Toc233298005"/>
      <w:r>
        <w:t>FED – Section E</w:t>
      </w:r>
      <w:bookmarkEnd w:id="35"/>
    </w:p>
    <w:p w14:paraId="14B9850A" w14:textId="77777777" w:rsidR="000D3AE5" w:rsidRDefault="000D3AE5" w:rsidP="006A2D41">
      <w:pPr>
        <w:rPr>
          <w:rFonts w:ascii="Microsoft Sans Serif" w:hAnsi="Microsoft Sans Serif" w:cs="Microsoft Sans Serif"/>
          <w:sz w:val="17"/>
          <w:szCs w:val="17"/>
        </w:rPr>
      </w:pPr>
      <w:r>
        <w:t>Now, let’s review the FED section on continence. Two types of continence are assessed in Section E: Bladder Continence and Bowel Continence. Please refer to the interRAI Manual Section H. In both situations, remember that these discussions must be held in private as it can be a sensitive subject. Individuals with poor control may hide it out of embarrassment or fear of institutionalization. Others may not report it because they believe that incontinence is just a natural part of aging and nothing can be done. Reassure the person as you discuss these sensitive issues.</w:t>
      </w:r>
    </w:p>
    <w:p w14:paraId="0471E328" w14:textId="6C8B7172" w:rsidR="001F27F4" w:rsidRDefault="000D3AE5" w:rsidP="009571C6">
      <w:pPr>
        <w:pStyle w:val="Heading4"/>
      </w:pPr>
      <w:r>
        <w:t>FED – Section E – Urinary Continence</w:t>
      </w:r>
    </w:p>
    <w:p w14:paraId="76EF0898" w14:textId="77777777" w:rsidR="000D3AE5" w:rsidRDefault="000D3AE5" w:rsidP="006A2D41">
      <w:r>
        <w:t>Bladder continence is control over involuntary spillage of urine. This item describes the person’s current bladder continence pattern, taking into account any control plans or devices, such as scheduled toileting plans, continence training programs, or urinary devices. It does not refer to the person’s ability to toilet him- or herself. For example, a person may require extensive assistance in toileting and still be continent. Bladder incontinence includes any level of dribbling or wetting of urine.</w:t>
      </w:r>
    </w:p>
    <w:p w14:paraId="1783C7D9" w14:textId="77777777" w:rsidR="000D3AE5" w:rsidRDefault="000D3AE5" w:rsidP="006A2D41">
      <w:r>
        <w:t>Review the person’s bladder function with him or her. Explore whether the person ever has difficulty making it to the bathroom in time, or dribbles or leaks urine, particularly when coughing, sneezing, laughing, or exercising. Whenever possible, have this discussion in private.</w:t>
      </w:r>
    </w:p>
    <w:p w14:paraId="68FEED77" w14:textId="77777777" w:rsidR="000D3AE5" w:rsidRDefault="000D3AE5" w:rsidP="006A2D41">
      <w:r>
        <w:t>Control of bladder function is a sensitive subject, particularly for people who are struggling to maintain control. Many people with poor control will try to hide their problems out of embarrassment or fear of retribution, or even in an extreme case, institutionalization. Others will not report problems because they mistakenly believe that incontinence is a natural part of aging and that nothing can be done to reverse the problem.</w:t>
      </w:r>
    </w:p>
    <w:p w14:paraId="7F525E0A" w14:textId="77777777" w:rsidR="000D3AE5" w:rsidRDefault="000D3AE5" w:rsidP="006A2D41">
      <w:r>
        <w:lastRenderedPageBreak/>
        <w:t>Despite these common reactions to incontinence, many people are relieved when a health care professional shows enough concern to ask about the nature of the problem in a sensitive, straightforward manner.</w:t>
      </w:r>
    </w:p>
    <w:p w14:paraId="7D490C7C" w14:textId="77777777" w:rsidR="000D3AE5" w:rsidRDefault="000D3AE5" w:rsidP="006A2D41">
      <w:r>
        <w:t>Validate continence patterns with people who know the person well, such as family, caregivers, or aides who assist with dressing or laundry.</w:t>
      </w:r>
    </w:p>
    <w:p w14:paraId="672E8732" w14:textId="77777777" w:rsidR="000D3AE5" w:rsidRDefault="000D3AE5" w:rsidP="006A2D41">
      <w:r>
        <w:t>Let’s review urinary continence coding.</w:t>
      </w:r>
    </w:p>
    <w:p w14:paraId="1273ACD3" w14:textId="77777777" w:rsidR="000D3AE5" w:rsidRDefault="000D3AE5" w:rsidP="006A2D41">
      <w:r>
        <w:t>A six-level coding scale is used to describe continence patterns. Choose one response to code the person’s level of urinary continence over the last three days. Code for the pattern of the person’s actual bladder continence with a urinary device, if used. Do not code the level of control the person might have received under optimal circumstances.</w:t>
      </w:r>
    </w:p>
    <w:p w14:paraId="451A1A2D" w14:textId="77777777" w:rsidR="000D3AE5" w:rsidRDefault="000D3AE5" w:rsidP="006A2D41">
      <w:r>
        <w:t xml:space="preserve">0. Continent. Stays dry with or without any urinary management device and has no accidental spillage. </w:t>
      </w:r>
    </w:p>
    <w:p w14:paraId="156B1A60" w14:textId="77777777" w:rsidR="000D3AE5" w:rsidRDefault="000D3AE5" w:rsidP="006A2D41">
      <w:r>
        <w:t>1. Infrequently incontinent. Not incontinent over the last 3 days, but does have a recent history of incontinent episodes.</w:t>
      </w:r>
    </w:p>
    <w:p w14:paraId="48DF892D" w14:textId="3303515C" w:rsidR="000D3AE5" w:rsidRPr="005A2C0D" w:rsidRDefault="000D3AE5" w:rsidP="006A2D41">
      <w:r w:rsidRPr="005A2C0D">
        <w:t>2. Occasionally incontinent. Less than daily episodes of bladder incontinence (incontinent on 1-2 of the last 3 days).</w:t>
      </w:r>
    </w:p>
    <w:p w14:paraId="429E54F2" w14:textId="77777777" w:rsidR="000D3AE5" w:rsidRPr="005A2C0D" w:rsidRDefault="000D3AE5" w:rsidP="006A2D41">
      <w:r w:rsidRPr="005A2C0D">
        <w:t>3. Frequently incontinent. Incontinent daily, but some control present (the person is not incontinent during each episode of urination). Example: During the day, the person remains dry and is continent of urine. At night, the person wets pants or bedding.</w:t>
      </w:r>
    </w:p>
    <w:p w14:paraId="4F2D9A56" w14:textId="77777777" w:rsidR="000D3AE5" w:rsidRPr="005A2C0D" w:rsidRDefault="000D3AE5" w:rsidP="006A2D41">
      <w:r w:rsidRPr="005A2C0D">
        <w:t>4. Incontinent. No control of bladder; multiple daily episodes all or almost all of the time.</w:t>
      </w:r>
    </w:p>
    <w:p w14:paraId="2386A797" w14:textId="215513B6" w:rsidR="000D3AE5" w:rsidRDefault="000D3AE5" w:rsidP="006A2D41">
      <w:r w:rsidRPr="005A2C0D">
        <w:t>8. Did not occur. No urine output from bladder in last 3 days.</w:t>
      </w:r>
    </w:p>
    <w:p w14:paraId="2000284C" w14:textId="77777777" w:rsidR="000D3AE5" w:rsidRDefault="000D3AE5" w:rsidP="006A2D41">
      <w:pPr>
        <w:rPr>
          <w:rFonts w:ascii="Microsoft Sans Serif" w:hAnsi="Microsoft Sans Serif" w:cs="Microsoft Sans Serif"/>
          <w:sz w:val="17"/>
          <w:szCs w:val="17"/>
        </w:rPr>
      </w:pPr>
      <w:r>
        <w:t>Please note that the pattern is the frequency with which the person is wet during the three-day assessment. Please do not record the level of control that the person might have had under optimal circumstances. For example, if a caregiver had been available to assist the person with toileting. Please refer to the examples and case studies in the interRAI Manual.</w:t>
      </w:r>
    </w:p>
    <w:p w14:paraId="200970D1" w14:textId="13FD6587" w:rsidR="001F27F4" w:rsidRDefault="000D3AE5" w:rsidP="009571C6">
      <w:pPr>
        <w:pStyle w:val="Heading4"/>
      </w:pPr>
      <w:r>
        <w:t>FED – Section E – Urinary Examples</w:t>
      </w:r>
    </w:p>
    <w:p w14:paraId="7005502F" w14:textId="77777777" w:rsidR="000D3AE5" w:rsidRDefault="000D3AE5" w:rsidP="006A2D41">
      <w:r>
        <w:t>Let’s review some examples.</w:t>
      </w:r>
    </w:p>
    <w:p w14:paraId="7AB62A8A" w14:textId="77777777" w:rsidR="000D3AE5" w:rsidRDefault="000D3AE5" w:rsidP="006A2D41">
      <w:r>
        <w:t xml:space="preserve">Mr. Quick was taken to the toilet after every meal, before bed, and once during the night. He was never found wet. </w:t>
      </w:r>
    </w:p>
    <w:p w14:paraId="398AF1C2" w14:textId="77777777" w:rsidR="000D3AE5" w:rsidRDefault="000D3AE5" w:rsidP="006A2D41">
      <w:r>
        <w:t>Code: “0” for “Continent.”</w:t>
      </w:r>
    </w:p>
    <w:p w14:paraId="44C45A10" w14:textId="77777777" w:rsidR="000D3AE5" w:rsidRDefault="000D3AE5" w:rsidP="006A2D41">
      <w:r>
        <w:t xml:space="preserve">Mr. Rodriquez had an indwelling catheter in place during the entire three-day assessment period. He was never found wet. </w:t>
      </w:r>
    </w:p>
    <w:p w14:paraId="3BBFE4EA" w14:textId="19AD9ADA" w:rsidR="000D3AE5" w:rsidRPr="005A2C0D" w:rsidRDefault="000D3AE5" w:rsidP="006A2D41">
      <w:r w:rsidRPr="005A2C0D">
        <w:lastRenderedPageBreak/>
        <w:t>Code: “0” = “Continent,” in this case with a urinary management device</w:t>
      </w:r>
      <w:r w:rsidR="0085632F" w:rsidRPr="005A2C0D">
        <w:t>. T</w:t>
      </w:r>
      <w:r w:rsidR="00416837" w:rsidRPr="005A2C0D">
        <w:t xml:space="preserve">he </w:t>
      </w:r>
      <w:r w:rsidRPr="005A2C0D">
        <w:t>device is noted under a separate item in the interRAI Home Care Assessment.</w:t>
      </w:r>
    </w:p>
    <w:p w14:paraId="48C84295" w14:textId="3446DB21" w:rsidR="000D3AE5" w:rsidRPr="005A2C0D" w:rsidRDefault="000D3AE5" w:rsidP="006A2D41">
      <w:r w:rsidRPr="005A2C0D">
        <w:t xml:space="preserve">Although she is generally continent of urine, every once in a while (4 and 6 days ago over the last week), Mrs. Romano did not make it to the bathroom to urinate in time after taking her daily diuretic pill. </w:t>
      </w:r>
    </w:p>
    <w:p w14:paraId="45AF2964" w14:textId="77777777" w:rsidR="000D3AE5" w:rsidRPr="005A2C0D" w:rsidRDefault="000D3AE5" w:rsidP="006A2D41">
      <w:r w:rsidRPr="005A2C0D">
        <w:t>Code: “1” = “Infrequently incontinent.”</w:t>
      </w:r>
    </w:p>
    <w:p w14:paraId="361EE284" w14:textId="54DCCB46" w:rsidR="000D3AE5" w:rsidRPr="005A2C0D" w:rsidRDefault="000D3AE5" w:rsidP="006A2D41">
      <w:r w:rsidRPr="005A2C0D">
        <w:t>Mrs. Apple has an occasional episode of urinary incontinence (generally less than daily), particularly late in the day when she is tired. In the last 2 days, she was not incontinent at all. She was incontinent 3 days ago, however.</w:t>
      </w:r>
    </w:p>
    <w:p w14:paraId="59E4B74C" w14:textId="77777777" w:rsidR="000D3AE5" w:rsidRPr="005A2C0D" w:rsidRDefault="000D3AE5" w:rsidP="006A2D41">
      <w:r w:rsidRPr="005A2C0D">
        <w:t>Code: “2” = “Occasionally incontinent.”</w:t>
      </w:r>
    </w:p>
    <w:p w14:paraId="04050CD3" w14:textId="356F1B84" w:rsidR="000D3AE5" w:rsidRPr="005A2C0D" w:rsidRDefault="000D3AE5" w:rsidP="006A2D41">
      <w:r w:rsidRPr="005A2C0D">
        <w:t xml:space="preserve">Mrs. Underwood has end-stage Alzheimer’s disease. She is very frail and has stiff, painful contractures of all extremities. She is primarily bedfast on a special water mattress and is turned and repositioned hourly for comfort. In the last 3 days, she was not toileted and was incontinent of urine for all episodes. </w:t>
      </w:r>
    </w:p>
    <w:p w14:paraId="50C9B266" w14:textId="77777777" w:rsidR="000D3AE5" w:rsidRDefault="000D3AE5" w:rsidP="006A2D41">
      <w:pPr>
        <w:rPr>
          <w:rFonts w:ascii="Microsoft Sans Serif" w:hAnsi="Microsoft Sans Serif" w:cs="Microsoft Sans Serif"/>
          <w:sz w:val="17"/>
          <w:szCs w:val="17"/>
        </w:rPr>
      </w:pPr>
      <w:r w:rsidRPr="005A2C0D">
        <w:t>Code: “4” = “Incontinent.”</w:t>
      </w:r>
    </w:p>
    <w:p w14:paraId="4709358D" w14:textId="2095D3A3" w:rsidR="001F27F4" w:rsidRDefault="000D3AE5" w:rsidP="009571C6">
      <w:pPr>
        <w:pStyle w:val="Heading4"/>
      </w:pPr>
      <w:r>
        <w:t>FED – Section E – Urinary Collection</w:t>
      </w:r>
    </w:p>
    <w:p w14:paraId="1E254B3A" w14:textId="77777777" w:rsidR="000D3AE5" w:rsidRDefault="000D3AE5" w:rsidP="006A2D41">
      <w:r>
        <w:t>The next section related to continence concerns urinary collection devices, excluding pads and briefs. The assessor will identify whether or not the individual uses the following devices:</w:t>
      </w:r>
    </w:p>
    <w:p w14:paraId="473525BB" w14:textId="3A892464" w:rsidR="000D3AE5" w:rsidRDefault="000D3AE5" w:rsidP="006A2D41">
      <w:r>
        <w:t>Intermittent catheter</w:t>
      </w:r>
      <w:r w:rsidR="00802FDF">
        <w:t xml:space="preserve">. </w:t>
      </w:r>
      <w:r>
        <w:t>A catheter that is inserted into the bladder the same way as an indwelling catheter. It is only left in place until the bladder is empty of urine, at which point it is removed. It will be administered several times per day.</w:t>
      </w:r>
    </w:p>
    <w:p w14:paraId="491779E3" w14:textId="09E153CA" w:rsidR="000D3AE5" w:rsidRDefault="000D3AE5" w:rsidP="006A2D41">
      <w:r>
        <w:t>External catheter</w:t>
      </w:r>
      <w:r w:rsidR="00802FDF">
        <w:t>.</w:t>
      </w:r>
      <w:r>
        <w:t xml:space="preserve"> A urinary collection device worn over the penis or urethral opening; for example, a condom.</w:t>
      </w:r>
    </w:p>
    <w:p w14:paraId="6FF2BC34" w14:textId="61B2425E" w:rsidR="000D3AE5" w:rsidRDefault="000D3AE5" w:rsidP="006A2D41">
      <w:r>
        <w:t>Indwelling catheter</w:t>
      </w:r>
      <w:r w:rsidR="00802FDF">
        <w:t>.</w:t>
      </w:r>
      <w:r>
        <w:t xml:space="preserve"> A catheter that is maintained within the bladder for the purpose of continuous drainage of urine. Includes catheters inserted through the urethra or by supra-pubic incision.</w:t>
      </w:r>
    </w:p>
    <w:p w14:paraId="626A5032" w14:textId="1DBDBD3A" w:rsidR="000D3AE5" w:rsidRDefault="000D3AE5" w:rsidP="006A2D41">
      <w:r>
        <w:t>Cystostomy</w:t>
      </w:r>
      <w:r w:rsidR="00802FDF">
        <w:t>.</w:t>
      </w:r>
      <w:r>
        <w:t xml:space="preserve"> An opening to the bladder made by a surgical incision and covered by a urinary collection appliance (urostomy bag).</w:t>
      </w:r>
    </w:p>
    <w:p w14:paraId="6C2BBBF3" w14:textId="34A51969" w:rsidR="000D3AE5" w:rsidRDefault="000D3AE5" w:rsidP="006A2D41">
      <w:r>
        <w:t>Nephrostomy</w:t>
      </w:r>
      <w:r w:rsidR="00802FDF">
        <w:t>.</w:t>
      </w:r>
      <w:r>
        <w:t xml:space="preserve"> A tube, stent, or catheter that is used to provide urinary drainage when a ureter is obstructed. In some cases, the catheter drains urine out of a person’s body into a drainage bag. In other cases, the catheter drains urine directly into the bladder.</w:t>
      </w:r>
    </w:p>
    <w:p w14:paraId="0E4D7432" w14:textId="20B86179" w:rsidR="000D3AE5" w:rsidRDefault="000D3AE5" w:rsidP="006A2D41">
      <w:r>
        <w:lastRenderedPageBreak/>
        <w:t>Ureterostomy</w:t>
      </w:r>
      <w:r w:rsidR="00802FDF">
        <w:t>.</w:t>
      </w:r>
      <w:r>
        <w:t xml:space="preserve"> A surgical urinary diversion, where the ureter(s) is detached from the bladder and brought to the surface of the abdomen, with a urinary collection device placed over it.</w:t>
      </w:r>
    </w:p>
    <w:p w14:paraId="6654E4D3" w14:textId="77777777" w:rsidR="000D3AE5" w:rsidRDefault="000D3AE5" w:rsidP="006A2D41">
      <w:r>
        <w:t>Ask the person or caregiver if they use any of these devices. Also check clinical documentation. Many of these items are worn underneath clothing and are hidden from view. It may be more effective to check the clinical documentation to assess.</w:t>
      </w:r>
    </w:p>
    <w:p w14:paraId="39B57A09" w14:textId="77777777" w:rsidR="000D3AE5" w:rsidRDefault="000D3AE5" w:rsidP="006A2D41">
      <w:r>
        <w:t>The coding is as follows:</w:t>
      </w:r>
    </w:p>
    <w:p w14:paraId="021776A7" w14:textId="6AEE8BED" w:rsidR="000D3AE5" w:rsidRDefault="000D3AE5" w:rsidP="006A2D41">
      <w:r>
        <w:t>0. None.</w:t>
      </w:r>
    </w:p>
    <w:p w14:paraId="592F8DCD" w14:textId="5C7AF510" w:rsidR="000D3AE5" w:rsidRDefault="000D3AE5" w:rsidP="006A2D41">
      <w:r>
        <w:t>1. Intermittent catheter.</w:t>
      </w:r>
    </w:p>
    <w:p w14:paraId="105FE6F7" w14:textId="77777777" w:rsidR="000D3AE5" w:rsidRDefault="000D3AE5" w:rsidP="006A2D41">
      <w:r>
        <w:t>2. External catheter.</w:t>
      </w:r>
    </w:p>
    <w:p w14:paraId="4A2C5504" w14:textId="77777777" w:rsidR="000D3AE5" w:rsidRDefault="000D3AE5" w:rsidP="006A2D41">
      <w:r>
        <w:t>3. Indwelling catheter.</w:t>
      </w:r>
    </w:p>
    <w:p w14:paraId="21C658A4" w14:textId="77777777" w:rsidR="000D3AE5" w:rsidRDefault="000D3AE5" w:rsidP="006A2D41">
      <w:pPr>
        <w:rPr>
          <w:rFonts w:ascii="Microsoft Sans Serif" w:hAnsi="Microsoft Sans Serif" w:cs="Microsoft Sans Serif"/>
          <w:sz w:val="17"/>
          <w:szCs w:val="17"/>
        </w:rPr>
      </w:pPr>
      <w:r>
        <w:t>4. Cystostomy, nephrostomy, ureterostomy.</w:t>
      </w:r>
    </w:p>
    <w:p w14:paraId="1DB1186C" w14:textId="69C60757" w:rsidR="001F27F4" w:rsidRDefault="000D3AE5" w:rsidP="009571C6">
      <w:pPr>
        <w:pStyle w:val="Heading4"/>
      </w:pPr>
      <w:r>
        <w:t>FED – Section E – Bowel Continence</w:t>
      </w:r>
    </w:p>
    <w:p w14:paraId="05043B04" w14:textId="77777777" w:rsidR="000D3AE5" w:rsidRDefault="000D3AE5" w:rsidP="006A2D41">
      <w:r>
        <w:t>Bowel continence is assessed separately. Bowel continence is the control of bowel function (including any leakage of stool or fecal material) with or without bowel programs or appliances. This item describes the person’s bowel continence pattern with any scheduled toileting plans, continence training programs, or appliances in use. It does not refer to the person’s ability to toilet him- or herself; a person can require extensive assistance in toileting and still be continent of stool.</w:t>
      </w:r>
    </w:p>
    <w:p w14:paraId="7D456A18" w14:textId="77777777" w:rsidR="000D3AE5" w:rsidRDefault="000D3AE5" w:rsidP="006A2D41">
      <w:r>
        <w:t>The coding for bowel continence is as follows:</w:t>
      </w:r>
    </w:p>
    <w:p w14:paraId="6B041FDD" w14:textId="77777777" w:rsidR="000D3AE5" w:rsidRDefault="000D3AE5" w:rsidP="006A2D41">
      <w:r>
        <w:t>0. Continent. Stays continent, with or without the use of an ostomy device.</w:t>
      </w:r>
    </w:p>
    <w:p w14:paraId="184758F3" w14:textId="1C385C44" w:rsidR="000D3AE5" w:rsidRDefault="000D3AE5" w:rsidP="006A2D41">
      <w:r>
        <w:t>1. Infrequently incontinent. Not incontinent over last 3 days, but does have incontinent episodes.</w:t>
      </w:r>
    </w:p>
    <w:p w14:paraId="042C18E7" w14:textId="77777777" w:rsidR="000D3AE5" w:rsidRDefault="000D3AE5" w:rsidP="006A2D41">
      <w:r>
        <w:t>2. Occasionally incontinent. Incontinent episodes less than daily.</w:t>
      </w:r>
    </w:p>
    <w:p w14:paraId="2AC4195B" w14:textId="77777777" w:rsidR="000D3AE5" w:rsidRDefault="000D3AE5" w:rsidP="006A2D41">
      <w:r>
        <w:t xml:space="preserve">3. Frequently incontinent. Incontinent daily, but person has some control. </w:t>
      </w:r>
    </w:p>
    <w:p w14:paraId="400D7DD1" w14:textId="77777777" w:rsidR="000D3AE5" w:rsidRDefault="000D3AE5" w:rsidP="006A2D41">
      <w:r>
        <w:t>4. Incontinent. No control present.</w:t>
      </w:r>
    </w:p>
    <w:p w14:paraId="60A098E2" w14:textId="393864A3" w:rsidR="000D3AE5" w:rsidRDefault="000D3AE5" w:rsidP="006A2D41">
      <w:pPr>
        <w:rPr>
          <w:rFonts w:ascii="Microsoft Sans Serif" w:hAnsi="Microsoft Sans Serif" w:cs="Microsoft Sans Serif"/>
          <w:sz w:val="17"/>
          <w:szCs w:val="17"/>
        </w:rPr>
      </w:pPr>
      <w:r>
        <w:t>8. Did not occur. No bowel movement in the last 3 days.</w:t>
      </w:r>
    </w:p>
    <w:p w14:paraId="451ACEC0" w14:textId="54B30135" w:rsidR="001F27F4" w:rsidRDefault="000D3AE5" w:rsidP="009571C6">
      <w:pPr>
        <w:pStyle w:val="Heading4"/>
      </w:pPr>
      <w:r>
        <w:t>FED – Section E – Pads or Briefs Worn</w:t>
      </w:r>
    </w:p>
    <w:p w14:paraId="2E75FE50" w14:textId="77777777" w:rsidR="000D3AE5" w:rsidRDefault="000D3AE5" w:rsidP="006A2D41">
      <w:pPr>
        <w:rPr>
          <w:rFonts w:ascii="Microsoft Sans Serif" w:hAnsi="Microsoft Sans Serif" w:cs="Microsoft Sans Serif"/>
          <w:sz w:val="17"/>
          <w:szCs w:val="17"/>
        </w:rPr>
      </w:pPr>
      <w:r>
        <w:t xml:space="preserve">The last element is a straightforward yes or no. Are pads or briefs worn? A pad or brief refers to any type of absorbent, disposable, or reusable undergarment or item, whether worn by the person or placed on the bed or the chair for protection from incontinence. </w:t>
      </w:r>
      <w:r>
        <w:lastRenderedPageBreak/>
        <w:t>This does not include the routine use of pads on beds when the person is never or rarely incontinent.</w:t>
      </w:r>
    </w:p>
    <w:p w14:paraId="3B630441" w14:textId="577097C9" w:rsidR="001F27F4" w:rsidRDefault="000D3AE5" w:rsidP="00E323CE">
      <w:pPr>
        <w:pStyle w:val="Heading3"/>
      </w:pPr>
      <w:bookmarkStart w:id="36" w:name="_Toc233298006"/>
      <w:r>
        <w:t>FED – Section F</w:t>
      </w:r>
      <w:bookmarkEnd w:id="36"/>
    </w:p>
    <w:p w14:paraId="3664E475" w14:textId="77777777" w:rsidR="000D3AE5" w:rsidRDefault="000D3AE5" w:rsidP="006A2D41">
      <w:pPr>
        <w:rPr>
          <w:rFonts w:ascii="Microsoft Sans Serif" w:hAnsi="Microsoft Sans Serif" w:cs="Microsoft Sans Serif"/>
          <w:sz w:val="17"/>
          <w:szCs w:val="17"/>
        </w:rPr>
      </w:pPr>
      <w:r>
        <w:t>The next section covers treatments and procedures.</w:t>
      </w:r>
    </w:p>
    <w:p w14:paraId="432117D3" w14:textId="7EA043DB" w:rsidR="001F27F4" w:rsidRDefault="000D3AE5" w:rsidP="009571C6">
      <w:pPr>
        <w:pStyle w:val="Heading4"/>
      </w:pPr>
      <w:r>
        <w:t>FED – Section F – Treatments and Procedures</w:t>
      </w:r>
    </w:p>
    <w:p w14:paraId="480DC28A" w14:textId="77777777" w:rsidR="000D3AE5" w:rsidRDefault="000D3AE5" w:rsidP="006A2D41">
      <w:r>
        <w:t xml:space="preserve">Coding treatments and procedures helps home care workers and long-term care professionals identify whether the person has unmet needs for health counseling and/or preventative care. </w:t>
      </w:r>
    </w:p>
    <w:p w14:paraId="69E479F4" w14:textId="77777777" w:rsidR="000D3AE5" w:rsidRDefault="000D3AE5" w:rsidP="006A2D41">
      <w:r>
        <w:t>Ask the person if they received the following specific health measures noting the time frame in the question:</w:t>
      </w:r>
    </w:p>
    <w:p w14:paraId="7D277A00" w14:textId="77777777" w:rsidR="000D3AE5" w:rsidRDefault="000D3AE5" w:rsidP="00E323CE">
      <w:pPr>
        <w:pStyle w:val="ListParagraph"/>
        <w:numPr>
          <w:ilvl w:val="0"/>
          <w:numId w:val="3"/>
        </w:numPr>
      </w:pPr>
      <w:r>
        <w:t>Blood pressure measured in the last year.</w:t>
      </w:r>
    </w:p>
    <w:p w14:paraId="6E805592" w14:textId="77777777" w:rsidR="000D3AE5" w:rsidRDefault="000D3AE5" w:rsidP="00E323CE">
      <w:pPr>
        <w:pStyle w:val="ListParagraph"/>
        <w:numPr>
          <w:ilvl w:val="0"/>
          <w:numId w:val="3"/>
        </w:numPr>
      </w:pPr>
      <w:r>
        <w:t>Colonoscopy test in the last five years. This includes using a fiberoptic colonoscope.</w:t>
      </w:r>
    </w:p>
    <w:p w14:paraId="4C5FC0BE" w14:textId="77777777" w:rsidR="000D3AE5" w:rsidRDefault="000D3AE5" w:rsidP="00E323CE">
      <w:pPr>
        <w:pStyle w:val="ListParagraph"/>
        <w:numPr>
          <w:ilvl w:val="0"/>
          <w:numId w:val="3"/>
        </w:numPr>
      </w:pPr>
      <w:r>
        <w:t>Dental exam in the last year. The exam could be by a dentist, oral surgeon, or dental hygienist.</w:t>
      </w:r>
    </w:p>
    <w:p w14:paraId="107218DC" w14:textId="77777777" w:rsidR="000D3AE5" w:rsidRDefault="000D3AE5" w:rsidP="00E323CE">
      <w:pPr>
        <w:pStyle w:val="ListParagraph"/>
        <w:numPr>
          <w:ilvl w:val="0"/>
          <w:numId w:val="3"/>
        </w:numPr>
      </w:pPr>
      <w:r>
        <w:t>Eye exam in the last year. The exam could be by an ophthalmologist, optometrist, physician, nurse, or other clinician.</w:t>
      </w:r>
    </w:p>
    <w:p w14:paraId="04306F9D" w14:textId="77777777" w:rsidR="000D3AE5" w:rsidRDefault="000D3AE5" w:rsidP="00E323CE">
      <w:pPr>
        <w:pStyle w:val="ListParagraph"/>
        <w:numPr>
          <w:ilvl w:val="0"/>
          <w:numId w:val="3"/>
        </w:numPr>
      </w:pPr>
      <w:r>
        <w:t>Hearing exam in the last two years. The person received an examination by an audiologist or other clinician.</w:t>
      </w:r>
    </w:p>
    <w:p w14:paraId="51369CA5" w14:textId="77777777" w:rsidR="000D3AE5" w:rsidRDefault="000D3AE5" w:rsidP="00E323CE">
      <w:pPr>
        <w:pStyle w:val="ListParagraph"/>
        <w:numPr>
          <w:ilvl w:val="0"/>
          <w:numId w:val="3"/>
        </w:numPr>
      </w:pPr>
      <w:r>
        <w:t>Influenza vaccine in the last year.</w:t>
      </w:r>
    </w:p>
    <w:p w14:paraId="37245224" w14:textId="77777777" w:rsidR="000D3AE5" w:rsidRDefault="000D3AE5" w:rsidP="00E323CE">
      <w:pPr>
        <w:pStyle w:val="ListParagraph"/>
        <w:numPr>
          <w:ilvl w:val="0"/>
          <w:numId w:val="3"/>
        </w:numPr>
      </w:pPr>
      <w:r>
        <w:t>Mammogram or breast exam in the last two years. This is for women only.</w:t>
      </w:r>
    </w:p>
    <w:p w14:paraId="076FEDA6" w14:textId="77777777" w:rsidR="000D3AE5" w:rsidRDefault="000D3AE5" w:rsidP="00E323CE">
      <w:pPr>
        <w:pStyle w:val="ListParagraph"/>
        <w:numPr>
          <w:ilvl w:val="0"/>
          <w:numId w:val="3"/>
        </w:numPr>
      </w:pPr>
      <w:r>
        <w:t>Pneumovax vaccine in the last five years or after age 65.</w:t>
      </w:r>
    </w:p>
    <w:p w14:paraId="55977C2F" w14:textId="77777777" w:rsidR="000D3AE5" w:rsidRDefault="000D3AE5" w:rsidP="006A2D41">
      <w:pPr>
        <w:rPr>
          <w:rFonts w:ascii="Microsoft Sans Serif" w:hAnsi="Microsoft Sans Serif" w:cs="Microsoft Sans Serif"/>
          <w:sz w:val="17"/>
          <w:szCs w:val="17"/>
        </w:rPr>
      </w:pPr>
      <w:r>
        <w:t>The coding is straightforward based on their response. “0” means no. “1” means yes.</w:t>
      </w:r>
    </w:p>
    <w:p w14:paraId="7492C91B" w14:textId="69DE8F15" w:rsidR="001F27F4" w:rsidRDefault="000D3AE5" w:rsidP="00E323CE">
      <w:pPr>
        <w:pStyle w:val="Heading3"/>
      </w:pPr>
      <w:bookmarkStart w:id="37" w:name="_Toc233298007"/>
      <w:r>
        <w:t>Instrumental Activities of Daily Living</w:t>
      </w:r>
      <w:bookmarkEnd w:id="37"/>
    </w:p>
    <w:p w14:paraId="6DBB44E9" w14:textId="77777777" w:rsidR="000D3AE5" w:rsidRDefault="000D3AE5" w:rsidP="006A2D41">
      <w:pPr>
        <w:rPr>
          <w:rFonts w:ascii="Microsoft Sans Serif" w:hAnsi="Microsoft Sans Serif" w:cs="Microsoft Sans Serif"/>
          <w:sz w:val="17"/>
          <w:szCs w:val="17"/>
        </w:rPr>
      </w:pPr>
      <w:r>
        <w:t>Lastly, let’s review instrumental activities of daily living, IADLs. The information on intent, definitions, process, and coding is in the interRAI Manual, Section G4.</w:t>
      </w:r>
    </w:p>
    <w:p w14:paraId="3C518ACE" w14:textId="4260114C" w:rsidR="001F27F4" w:rsidRDefault="000D3AE5" w:rsidP="009571C6">
      <w:pPr>
        <w:pStyle w:val="Heading4"/>
      </w:pPr>
      <w:r>
        <w:t>IADLs</w:t>
      </w:r>
    </w:p>
    <w:p w14:paraId="380E1279" w14:textId="77777777" w:rsidR="000D3AE5" w:rsidRDefault="000D3AE5" w:rsidP="006A2D41">
      <w:pPr>
        <w:rPr>
          <w:rFonts w:ascii="Microsoft Sans Serif" w:hAnsi="Microsoft Sans Serif" w:cs="Microsoft Sans Serif"/>
          <w:sz w:val="17"/>
          <w:szCs w:val="17"/>
        </w:rPr>
      </w:pPr>
      <w:r>
        <w:t xml:space="preserve">Instrumental Activities of Daily Living, IADLs, are not part of FED scoring, but they provide critical insights into the whole picture of the person’s ability to live independently. </w:t>
      </w:r>
    </w:p>
    <w:p w14:paraId="60E84D18" w14:textId="1607FAD2" w:rsidR="001F27F4" w:rsidRDefault="000D3AE5" w:rsidP="009571C6">
      <w:pPr>
        <w:pStyle w:val="Heading4"/>
      </w:pPr>
      <w:r>
        <w:t>IADLs Coding</w:t>
      </w:r>
    </w:p>
    <w:p w14:paraId="538F74DF" w14:textId="77777777" w:rsidR="000D3AE5" w:rsidRDefault="000D3AE5" w:rsidP="006A2D41">
      <w:r>
        <w:t>Let's review coding.</w:t>
      </w:r>
    </w:p>
    <w:p w14:paraId="6CE69BFF" w14:textId="77777777" w:rsidR="000D3AE5" w:rsidRDefault="000D3AE5" w:rsidP="006A2D41">
      <w:r>
        <w:t>Score each item based on the person’s presumed ability or capacity to carry out the activity. Capacity measures the person's presumed ability to carry out the activity.</w:t>
      </w:r>
    </w:p>
    <w:p w14:paraId="65FB877C" w14:textId="77777777" w:rsidR="000D3AE5" w:rsidRDefault="000D3AE5" w:rsidP="00E323CE">
      <w:pPr>
        <w:pStyle w:val="ListParagraph"/>
        <w:numPr>
          <w:ilvl w:val="0"/>
          <w:numId w:val="3"/>
        </w:numPr>
      </w:pPr>
      <w:r>
        <w:lastRenderedPageBreak/>
        <w:t>This requires speculation by the assessor.</w:t>
      </w:r>
    </w:p>
    <w:p w14:paraId="7D899801" w14:textId="77777777" w:rsidR="000D3AE5" w:rsidRDefault="000D3AE5" w:rsidP="00E323CE">
      <w:pPr>
        <w:pStyle w:val="ListParagraph"/>
        <w:numPr>
          <w:ilvl w:val="0"/>
          <w:numId w:val="3"/>
        </w:numPr>
      </w:pPr>
      <w:r>
        <w:t>It requires the assessor to question a bit more deeply to understand the root cause if an individual is not entirely independent.</w:t>
      </w:r>
    </w:p>
    <w:p w14:paraId="22995726" w14:textId="014BA25A" w:rsidR="000D3AE5" w:rsidRDefault="000D3AE5" w:rsidP="00E323CE">
      <w:pPr>
        <w:pStyle w:val="ListParagraph"/>
        <w:numPr>
          <w:ilvl w:val="0"/>
          <w:numId w:val="3"/>
        </w:numPr>
      </w:pPr>
      <w:r>
        <w:t xml:space="preserve">An individual may not have performed an activity due to scheduling. For example, if I only write my checks once a month, I may not have performed that activity within the </w:t>
      </w:r>
      <w:r w:rsidR="006B454E">
        <w:t>three</w:t>
      </w:r>
      <w:r>
        <w:t>-day observation period.</w:t>
      </w:r>
    </w:p>
    <w:p w14:paraId="6FB11F26" w14:textId="77777777" w:rsidR="000D3AE5" w:rsidRDefault="000D3AE5" w:rsidP="00E323CE">
      <w:pPr>
        <w:pStyle w:val="ListParagraph"/>
        <w:numPr>
          <w:ilvl w:val="0"/>
          <w:numId w:val="3"/>
        </w:numPr>
      </w:pPr>
      <w:r>
        <w:t>An individual may have the capacity to do something if they receive the required training.</w:t>
      </w:r>
    </w:p>
    <w:p w14:paraId="7904E68B" w14:textId="77777777" w:rsidR="000D3AE5" w:rsidRDefault="000D3AE5" w:rsidP="00E323CE">
      <w:pPr>
        <w:pStyle w:val="ListParagraph"/>
        <w:numPr>
          <w:ilvl w:val="0"/>
          <w:numId w:val="3"/>
        </w:numPr>
      </w:pPr>
      <w:r>
        <w:t>Finally, an individual may rely on a caregiver or family member to perform an activity because the caregiver prefers to do it.</w:t>
      </w:r>
    </w:p>
    <w:p w14:paraId="3709505D" w14:textId="77777777" w:rsidR="000D3AE5" w:rsidRDefault="000D3AE5" w:rsidP="006A2D41">
      <w:r>
        <w:t>For example, some people may never have learned to cook, and some people may never have handled financial matters, but can be taught to carry out such tasks.</w:t>
      </w:r>
    </w:p>
    <w:p w14:paraId="32D0CF69" w14:textId="77777777" w:rsidR="000D3AE5" w:rsidRDefault="000D3AE5" w:rsidP="006A2D41">
      <w:r>
        <w:t>First, determine whether the person actually performed the activity safely and with no supervision, in which case the capacity score would equal “0” for “Independent.”</w:t>
      </w:r>
    </w:p>
    <w:p w14:paraId="3335F4AF" w14:textId="77777777" w:rsidR="000D3AE5" w:rsidRDefault="000D3AE5" w:rsidP="006A2D41">
      <w:r>
        <w:t>If not, evaluate to what extent the person is capable of carrying out the task.</w:t>
      </w:r>
    </w:p>
    <w:p w14:paraId="5B0BB5E7" w14:textId="77777777" w:rsidR="000D3AE5" w:rsidRDefault="000D3AE5" w:rsidP="006A2D41">
      <w:r>
        <w:t>0. Independent. No help, setup, or supervision needed.</w:t>
      </w:r>
    </w:p>
    <w:p w14:paraId="6B4E4EC9" w14:textId="77777777" w:rsidR="000D3AE5" w:rsidRDefault="000D3AE5" w:rsidP="006A2D41">
      <w:r>
        <w:t>1. Setup help only. Articles or device provided or placed within reach, no physical assistance or supervision in any episode.</w:t>
      </w:r>
    </w:p>
    <w:p w14:paraId="36315621" w14:textId="77777777" w:rsidR="000D3AE5" w:rsidRDefault="000D3AE5" w:rsidP="006A2D41">
      <w:r>
        <w:t>2. Supervision. Oversight/cuing required.</w:t>
      </w:r>
    </w:p>
    <w:p w14:paraId="1DC1F30D" w14:textId="77777777" w:rsidR="000D3AE5" w:rsidRDefault="000D3AE5" w:rsidP="006A2D41">
      <w:r>
        <w:t>3. Limited assistance. Help required on some occasions.</w:t>
      </w:r>
    </w:p>
    <w:p w14:paraId="34960301" w14:textId="77777777" w:rsidR="000D3AE5" w:rsidRDefault="000D3AE5" w:rsidP="006A2D41">
      <w:r>
        <w:t>4. Extensive assistance. Help required throughout task, but could perform 50% or more of task on own.</w:t>
      </w:r>
    </w:p>
    <w:p w14:paraId="79FE0990" w14:textId="77777777" w:rsidR="000D3AE5" w:rsidRDefault="000D3AE5" w:rsidP="006A2D41">
      <w:r>
        <w:t>5. Maximal assistance. Help required throughout task, but could perform less than 50% of task on own.</w:t>
      </w:r>
    </w:p>
    <w:p w14:paraId="21C1CF1A" w14:textId="77777777" w:rsidR="000D3AE5" w:rsidRDefault="000D3AE5" w:rsidP="006A2D41">
      <w:r>
        <w:t>6. Total dependence. Full performance of activity during entire period by others.</w:t>
      </w:r>
    </w:p>
    <w:p w14:paraId="71DF4AB6" w14:textId="77777777" w:rsidR="000D3AE5" w:rsidRDefault="000D3AE5" w:rsidP="006A2D41">
      <w:pPr>
        <w:rPr>
          <w:rFonts w:ascii="Microsoft Sans Serif" w:hAnsi="Microsoft Sans Serif" w:cs="Microsoft Sans Serif"/>
          <w:sz w:val="17"/>
          <w:szCs w:val="17"/>
        </w:rPr>
      </w:pPr>
      <w:r>
        <w:t>Please review the examples in the Case Study Guide.</w:t>
      </w:r>
    </w:p>
    <w:p w14:paraId="67460F3F" w14:textId="6324F96D" w:rsidR="001F27F4" w:rsidRDefault="000D3AE5" w:rsidP="009571C6">
      <w:pPr>
        <w:pStyle w:val="Heading4"/>
      </w:pPr>
      <w:r>
        <w:t>Review of IADLs</w:t>
      </w:r>
    </w:p>
    <w:p w14:paraId="18C02D21" w14:textId="1D8D117A" w:rsidR="000D3AE5" w:rsidRDefault="000D3AE5" w:rsidP="006A2D41">
      <w:pPr>
        <w:rPr>
          <w:rFonts w:ascii="Microsoft Sans Serif" w:hAnsi="Microsoft Sans Serif" w:cs="Microsoft Sans Serif"/>
          <w:sz w:val="17"/>
          <w:szCs w:val="17"/>
        </w:rPr>
      </w:pPr>
      <w:r>
        <w:t>Let</w:t>
      </w:r>
      <w:r w:rsidR="00220C95">
        <w:t>’</w:t>
      </w:r>
      <w:r>
        <w:t>s review Instrumental Activities of Daily Living.</w:t>
      </w:r>
    </w:p>
    <w:p w14:paraId="72A626F3" w14:textId="180DD33B" w:rsidR="001F27F4" w:rsidRDefault="000D3AE5" w:rsidP="009571C6">
      <w:pPr>
        <w:pStyle w:val="Heading5"/>
      </w:pPr>
      <w:r>
        <w:t>Meal Preparation</w:t>
      </w:r>
    </w:p>
    <w:p w14:paraId="378E81C5" w14:textId="0F565DDB" w:rsidR="000D3AE5" w:rsidRDefault="000D3AE5" w:rsidP="006A2D41">
      <w:r>
        <w:t>The category of meal preparation includes planning meals, assembling ingredients, cooking, and setting out the food and the utensils needed. This item is assessed in terms of the person</w:t>
      </w:r>
      <w:r w:rsidR="00220C95">
        <w:t>’</w:t>
      </w:r>
      <w:r>
        <w:t xml:space="preserve">s ability to put meals together, regardless of the quality of the meal or the nutritional value of the meal. </w:t>
      </w:r>
    </w:p>
    <w:p w14:paraId="56C3D310" w14:textId="77777777" w:rsidR="000D3AE5" w:rsidRDefault="000D3AE5" w:rsidP="006A2D41">
      <w:pPr>
        <w:rPr>
          <w:rFonts w:ascii="Microsoft Sans Serif" w:hAnsi="Microsoft Sans Serif" w:cs="Microsoft Sans Serif"/>
          <w:sz w:val="17"/>
          <w:szCs w:val="17"/>
        </w:rPr>
      </w:pPr>
      <w:r>
        <w:lastRenderedPageBreak/>
        <w:t>Please review the examples in the Case Study Guide.</w:t>
      </w:r>
    </w:p>
    <w:p w14:paraId="56687A1C" w14:textId="635E8320" w:rsidR="001F27F4" w:rsidRDefault="000D3AE5" w:rsidP="009571C6">
      <w:pPr>
        <w:pStyle w:val="Heading5"/>
      </w:pPr>
      <w:r>
        <w:t>Housework</w:t>
      </w:r>
    </w:p>
    <w:p w14:paraId="31E1863D" w14:textId="77777777" w:rsidR="000D3AE5" w:rsidRDefault="000D3AE5" w:rsidP="006A2D41">
      <w:r>
        <w:t>The next IADL is ordinary housework. The ordinary housework category refers to how ordinary work around the house is performed. Examples of ordinary work include doing the dishes, dusting, making the beds, tidying up the house, and laundry. Cleaning out gutters, mowing lawns, and heavy cleaning such as steam-cleaning rugs are not considered ordinary housework.</w:t>
      </w:r>
    </w:p>
    <w:p w14:paraId="556E7F55" w14:textId="77777777" w:rsidR="000D3AE5" w:rsidRDefault="000D3AE5" w:rsidP="006A2D41">
      <w:pPr>
        <w:rPr>
          <w:rFonts w:ascii="Microsoft Sans Serif" w:hAnsi="Microsoft Sans Serif" w:cs="Microsoft Sans Serif"/>
          <w:sz w:val="17"/>
          <w:szCs w:val="17"/>
        </w:rPr>
      </w:pPr>
      <w:r>
        <w:t>Please review the examples in the Case Study Guide.</w:t>
      </w:r>
    </w:p>
    <w:p w14:paraId="299B49BD" w14:textId="09E1517D" w:rsidR="001F27F4" w:rsidRDefault="000D3AE5" w:rsidP="009571C6">
      <w:pPr>
        <w:pStyle w:val="Heading5"/>
      </w:pPr>
      <w:r>
        <w:t>Finances</w:t>
      </w:r>
    </w:p>
    <w:p w14:paraId="361298EF" w14:textId="77777777" w:rsidR="000D3AE5" w:rsidRDefault="000D3AE5" w:rsidP="006A2D41">
      <w:r>
        <w:t xml:space="preserve">The category of managing finances refers to how bills are paid, checkbooks are balanced, household expenses are budgeted, and credit card accounts are monitored. </w:t>
      </w:r>
    </w:p>
    <w:p w14:paraId="4C853E0F" w14:textId="77777777" w:rsidR="000D3AE5" w:rsidRDefault="000D3AE5" w:rsidP="006A2D41">
      <w:pPr>
        <w:rPr>
          <w:rFonts w:ascii="Microsoft Sans Serif" w:hAnsi="Microsoft Sans Serif" w:cs="Microsoft Sans Serif"/>
          <w:sz w:val="17"/>
          <w:szCs w:val="17"/>
        </w:rPr>
      </w:pPr>
      <w:r>
        <w:t>Please review the examples in the Case Study Guide.</w:t>
      </w:r>
    </w:p>
    <w:p w14:paraId="61E76B7B" w14:textId="24FE5219" w:rsidR="001F27F4" w:rsidRDefault="000D3AE5" w:rsidP="009571C6">
      <w:pPr>
        <w:pStyle w:val="Heading5"/>
      </w:pPr>
      <w:r>
        <w:t>Managing Medications</w:t>
      </w:r>
    </w:p>
    <w:p w14:paraId="092141E7" w14:textId="77777777" w:rsidR="000D3AE5" w:rsidRDefault="000D3AE5" w:rsidP="006A2D41">
      <w:r>
        <w:t>Managing medications includes remembering to take medicines, being able to open a bottle or container, taking the correct drug dosages, giving injections, applying ointments, and understanding side effects. Medication management is included in the scoring matrix to determine NFCE.</w:t>
      </w:r>
    </w:p>
    <w:p w14:paraId="3B652818" w14:textId="77777777" w:rsidR="000D3AE5" w:rsidRDefault="000D3AE5" w:rsidP="006A2D41">
      <w:pPr>
        <w:rPr>
          <w:rFonts w:ascii="Microsoft Sans Serif" w:hAnsi="Microsoft Sans Serif" w:cs="Microsoft Sans Serif"/>
          <w:sz w:val="17"/>
          <w:szCs w:val="17"/>
        </w:rPr>
      </w:pPr>
      <w:r>
        <w:t>Please review the examples in the Case Study Guide.</w:t>
      </w:r>
    </w:p>
    <w:p w14:paraId="073BD14F" w14:textId="15D3649A" w:rsidR="001F27F4" w:rsidRDefault="000D3AE5" w:rsidP="00282550">
      <w:pPr>
        <w:pStyle w:val="Heading2"/>
      </w:pPr>
      <w:bookmarkStart w:id="38" w:name="_Toc233298008"/>
      <w:r>
        <w:t>FED Determination Scoring Matrix</w:t>
      </w:r>
      <w:bookmarkEnd w:id="38"/>
    </w:p>
    <w:p w14:paraId="76514909" w14:textId="3AB8FD32" w:rsidR="000D3AE5" w:rsidRDefault="000D3AE5" w:rsidP="006A2D41">
      <w:pPr>
        <w:rPr>
          <w:rFonts w:ascii="Microsoft Sans Serif" w:hAnsi="Microsoft Sans Serif" w:cs="Microsoft Sans Serif"/>
          <w:sz w:val="17"/>
          <w:szCs w:val="17"/>
        </w:rPr>
      </w:pPr>
      <w:r w:rsidRPr="005A2C0D">
        <w:t>Now that we</w:t>
      </w:r>
      <w:r w:rsidR="00220C95" w:rsidRPr="005A2C0D">
        <w:t>’</w:t>
      </w:r>
      <w:r w:rsidRPr="005A2C0D">
        <w:t>re consistent in our scoring and understanding of the categories and the descriptions of the activities, let</w:t>
      </w:r>
      <w:r w:rsidR="00220C95" w:rsidRPr="005A2C0D">
        <w:t>’</w:t>
      </w:r>
      <w:r w:rsidRPr="005A2C0D">
        <w:t>s move to the functional eligibility determination scoring matrix. The mathematical part of the scoring matrix is performed by the PIA system. It is reviewed by Aging Well PA assessors.</w:t>
      </w:r>
    </w:p>
    <w:p w14:paraId="7195CA71" w14:textId="49933962" w:rsidR="001F27F4" w:rsidRDefault="000D3AE5" w:rsidP="00282550">
      <w:pPr>
        <w:pStyle w:val="Heading3"/>
      </w:pPr>
      <w:bookmarkStart w:id="39" w:name="_Toc233298009"/>
      <w:r>
        <w:t>FED Scoring</w:t>
      </w:r>
      <w:bookmarkEnd w:id="39"/>
    </w:p>
    <w:p w14:paraId="2AF7343B" w14:textId="77777777" w:rsidR="000D3AE5" w:rsidRDefault="000D3AE5" w:rsidP="006A2D41">
      <w:r>
        <w:t xml:space="preserve">To meet the definition of NFCE, a person requires a minimum three partial deficits OR any full deficit on any scored category. An individual needs a score of three or more on any one item for ADLs to have a deficit. </w:t>
      </w:r>
    </w:p>
    <w:p w14:paraId="2EF1E732" w14:textId="77777777" w:rsidR="000D3AE5" w:rsidRDefault="000D3AE5" w:rsidP="006A2D41">
      <w:r>
        <w:t>The categories that are scored for functional eligibility are:</w:t>
      </w:r>
    </w:p>
    <w:p w14:paraId="418A5F97" w14:textId="77777777" w:rsidR="000D3AE5" w:rsidRDefault="000D3AE5" w:rsidP="006A2D41">
      <w:r>
        <w:t>Scoring Element A: FED Section B.1. Cognitive Skills for Daily Decision-Making.</w:t>
      </w:r>
    </w:p>
    <w:p w14:paraId="7481F3A7" w14:textId="77777777" w:rsidR="000D3AE5" w:rsidRDefault="000D3AE5" w:rsidP="006A2D41">
      <w:r>
        <w:t>A score of 2 to 4 is a partial deficit. A score of 5 is a full deficit.</w:t>
      </w:r>
    </w:p>
    <w:p w14:paraId="5123BA48" w14:textId="77777777" w:rsidR="000D3AE5" w:rsidRDefault="000D3AE5" w:rsidP="006A2D41">
      <w:r>
        <w:lastRenderedPageBreak/>
        <w:t>Scoring Element B: FED Sections B.2.a. Short-Term Memory, B.2.b. Procedural Memory, B.2.c. Situational Memory.</w:t>
      </w:r>
    </w:p>
    <w:p w14:paraId="62AE44E7" w14:textId="77777777" w:rsidR="000D3AE5" w:rsidRDefault="000D3AE5" w:rsidP="006A2D41">
      <w:r>
        <w:t>A score of 1 on one or more of these is a partial deficit.</w:t>
      </w:r>
    </w:p>
    <w:p w14:paraId="6B778554" w14:textId="77777777" w:rsidR="000D3AE5" w:rsidRDefault="000D3AE5" w:rsidP="006A2D41">
      <w:r>
        <w:t>Scoring Element C: FED Sections B.3.a. Easily Distracted, B.3.b. Disorganized Speech, B.3.c. Mental Function Varies.</w:t>
      </w:r>
    </w:p>
    <w:p w14:paraId="6342D9EE" w14:textId="77777777" w:rsidR="000D3AE5" w:rsidRDefault="000D3AE5" w:rsidP="006A2D41">
      <w:r>
        <w:t>A score of 1 or 2 on one or more sections is a partial deficit.</w:t>
      </w:r>
    </w:p>
    <w:p w14:paraId="621E1854" w14:textId="77777777" w:rsidR="000D3AE5" w:rsidRDefault="000D3AE5" w:rsidP="006A2D41">
      <w:r>
        <w:t>Scoring Element D: FED Sections C.1.a. Wandering, C.1.b. Verbal Abuse, C.1.c. Physical Abuse, C.1.d. Socially Inappropriate or Disruptive Behaviors.</w:t>
      </w:r>
    </w:p>
    <w:p w14:paraId="379846C7" w14:textId="77777777" w:rsidR="000D3AE5" w:rsidRDefault="000D3AE5" w:rsidP="006A2D41">
      <w:r>
        <w:t>A score of 2 or 3 on one or more sections is a partial deficit.</w:t>
      </w:r>
    </w:p>
    <w:p w14:paraId="18A85AEF" w14:textId="77777777" w:rsidR="000D3AE5" w:rsidRDefault="000D3AE5" w:rsidP="006A2D41">
      <w:r>
        <w:t>Scoring Element E: FED Sections D.1.a. Bathing, D.1.b. Bath Transfer, D.1.c Personal Hygiene, D.1.d. or D.1.e. Dressing, D.1.f. or D.1.g. Walking/Locomotion, D.1.h. or D.1.i. Toilet Use or Transfer, D.1.j. Eating.</w:t>
      </w:r>
    </w:p>
    <w:p w14:paraId="0DB54FB4" w14:textId="77777777" w:rsidR="000D3AE5" w:rsidRDefault="000D3AE5" w:rsidP="006A2D41">
      <w:r>
        <w:t>A score of 3 to 6 on any two sections is a partial deficit. A score of 3 to 6 on three or more bullets is a full deficit.</w:t>
      </w:r>
    </w:p>
    <w:p w14:paraId="6DE44143" w14:textId="77777777" w:rsidR="000D3AE5" w:rsidRDefault="000D3AE5" w:rsidP="006A2D41">
      <w:r>
        <w:t>Scoring Element F: FED Section D.2.a. Primary Mode of Locomotion.</w:t>
      </w:r>
    </w:p>
    <w:p w14:paraId="68A8A7D7" w14:textId="77777777" w:rsidR="000D3AE5" w:rsidRDefault="000D3AE5" w:rsidP="006A2D41">
      <w:r>
        <w:t>A score of 2 is a partial deficit. A score of 3 is a full deficit.</w:t>
      </w:r>
    </w:p>
    <w:p w14:paraId="76C33F71" w14:textId="77777777" w:rsidR="000D3AE5" w:rsidRDefault="000D3AE5" w:rsidP="006A2D41">
      <w:r>
        <w:t>Scoring Element G: FED Section D.3. Managing Medications.</w:t>
      </w:r>
    </w:p>
    <w:p w14:paraId="3B65C404" w14:textId="77777777" w:rsidR="000D3AE5" w:rsidRDefault="000D3AE5" w:rsidP="006A2D41">
      <w:r>
        <w:t>A score of 5 or 6 is a partial deficit.</w:t>
      </w:r>
    </w:p>
    <w:p w14:paraId="703FE78D" w14:textId="77777777" w:rsidR="000D3AE5" w:rsidRDefault="000D3AE5" w:rsidP="006A2D41">
      <w:r>
        <w:t>Scoring Element H: FED Section E.3. Bowel Continence</w:t>
      </w:r>
    </w:p>
    <w:p w14:paraId="5EA3023C" w14:textId="77777777" w:rsidR="000D3AE5" w:rsidRDefault="000D3AE5" w:rsidP="006A2D41">
      <w:pPr>
        <w:rPr>
          <w:rFonts w:ascii="Microsoft Sans Serif" w:hAnsi="Microsoft Sans Serif" w:cs="Microsoft Sans Serif"/>
          <w:sz w:val="17"/>
          <w:szCs w:val="17"/>
        </w:rPr>
      </w:pPr>
      <w:r>
        <w:t>A score of 4 or 5 is a full deficit.</w:t>
      </w:r>
    </w:p>
    <w:p w14:paraId="54F36632" w14:textId="41E86994" w:rsidR="001F27F4" w:rsidRDefault="000D3AE5" w:rsidP="00786DD3">
      <w:pPr>
        <w:pStyle w:val="Heading3"/>
      </w:pPr>
      <w:bookmarkStart w:id="40" w:name="_Toc233298010"/>
      <w:r>
        <w:t>FED Scoring Notes</w:t>
      </w:r>
      <w:bookmarkEnd w:id="40"/>
    </w:p>
    <w:p w14:paraId="66D1CE01" w14:textId="77777777" w:rsidR="000D3AE5" w:rsidRDefault="000D3AE5" w:rsidP="006A2D41">
      <w:r>
        <w:t>Please note:</w:t>
      </w:r>
    </w:p>
    <w:p w14:paraId="19D8FCDE" w14:textId="77777777" w:rsidR="000D3AE5" w:rsidRDefault="000D3AE5" w:rsidP="00786DD3">
      <w:pPr>
        <w:pStyle w:val="ListParagraph"/>
        <w:numPr>
          <w:ilvl w:val="0"/>
          <w:numId w:val="3"/>
        </w:numPr>
      </w:pPr>
      <w:r>
        <w:t>FED eligibility assessors can disagree with the determination.</w:t>
      </w:r>
    </w:p>
    <w:p w14:paraId="346997D5" w14:textId="77777777" w:rsidR="000D3AE5" w:rsidRDefault="000D3AE5" w:rsidP="00786DD3">
      <w:pPr>
        <w:pStyle w:val="ListParagraph"/>
        <w:numPr>
          <w:ilvl w:val="0"/>
          <w:numId w:val="3"/>
        </w:numPr>
      </w:pPr>
      <w:r>
        <w:t>FED assessors can enter notes or comments about the person as necessary.</w:t>
      </w:r>
    </w:p>
    <w:p w14:paraId="51F28F49" w14:textId="77777777" w:rsidR="000D3AE5" w:rsidRPr="00786DD3" w:rsidRDefault="000D3AE5" w:rsidP="00786DD3">
      <w:pPr>
        <w:pStyle w:val="ListParagraph"/>
        <w:numPr>
          <w:ilvl w:val="0"/>
          <w:numId w:val="3"/>
        </w:numPr>
      </w:pPr>
      <w:r>
        <w:t>Notes are critical to Hearing Officers if there is an appeal.</w:t>
      </w:r>
    </w:p>
    <w:p w14:paraId="153C358E" w14:textId="785028FF" w:rsidR="001F27F4" w:rsidRDefault="000D3AE5" w:rsidP="00786DD3">
      <w:pPr>
        <w:pStyle w:val="Heading2"/>
      </w:pPr>
      <w:bookmarkStart w:id="41" w:name="_Toc233298011"/>
      <w:r>
        <w:t>Approaching Assessments</w:t>
      </w:r>
      <w:bookmarkEnd w:id="41"/>
    </w:p>
    <w:p w14:paraId="1C6C57FF" w14:textId="77777777" w:rsidR="000D3AE5" w:rsidRDefault="000D3AE5" w:rsidP="006A2D41">
      <w:pPr>
        <w:rPr>
          <w:rFonts w:ascii="Microsoft Sans Serif" w:hAnsi="Microsoft Sans Serif" w:cs="Microsoft Sans Serif"/>
          <w:sz w:val="17"/>
          <w:szCs w:val="17"/>
        </w:rPr>
      </w:pPr>
      <w:r>
        <w:t>There is excellent guidance in the interRAI Version 10 Manual on how to approach performing assessments. This is in addition to the education and experiences of the assessors.</w:t>
      </w:r>
    </w:p>
    <w:p w14:paraId="4271F161" w14:textId="0A9CB05D" w:rsidR="001F27F4" w:rsidRDefault="000D3AE5" w:rsidP="006A2D41">
      <w:pPr>
        <w:pStyle w:val="Heading2"/>
      </w:pPr>
      <w:bookmarkStart w:id="42" w:name="_Toc233298012"/>
      <w:r>
        <w:lastRenderedPageBreak/>
        <w:t>Summary</w:t>
      </w:r>
      <w:bookmarkEnd w:id="42"/>
    </w:p>
    <w:p w14:paraId="5527966B" w14:textId="77777777" w:rsidR="000D3AE5" w:rsidRDefault="000D3AE5" w:rsidP="006A2D41">
      <w:r>
        <w:t>In the approach to gathering information, assessors:</w:t>
      </w:r>
    </w:p>
    <w:p w14:paraId="6AC259BD" w14:textId="77777777" w:rsidR="000D3AE5" w:rsidRDefault="000D3AE5" w:rsidP="00786DD3">
      <w:pPr>
        <w:pStyle w:val="ListParagraph"/>
        <w:numPr>
          <w:ilvl w:val="0"/>
          <w:numId w:val="3"/>
        </w:numPr>
      </w:pPr>
      <w:r>
        <w:t>Build rapport,</w:t>
      </w:r>
    </w:p>
    <w:p w14:paraId="3CF9A3D1" w14:textId="77777777" w:rsidR="000D3AE5" w:rsidRDefault="000D3AE5" w:rsidP="00786DD3">
      <w:pPr>
        <w:pStyle w:val="ListParagraph"/>
        <w:numPr>
          <w:ilvl w:val="0"/>
          <w:numId w:val="3"/>
        </w:numPr>
      </w:pPr>
      <w:r>
        <w:t>Look for context,</w:t>
      </w:r>
    </w:p>
    <w:p w14:paraId="500E61F1" w14:textId="77777777" w:rsidR="000D3AE5" w:rsidRDefault="000D3AE5" w:rsidP="00786DD3">
      <w:pPr>
        <w:pStyle w:val="ListParagraph"/>
        <w:numPr>
          <w:ilvl w:val="0"/>
          <w:numId w:val="3"/>
        </w:numPr>
      </w:pPr>
      <w:r>
        <w:t>Use Motivational Interviewing and Trauma Informed conversations,</w:t>
      </w:r>
    </w:p>
    <w:p w14:paraId="52D02C4C" w14:textId="77777777" w:rsidR="000D3AE5" w:rsidRDefault="000D3AE5" w:rsidP="00786DD3">
      <w:pPr>
        <w:pStyle w:val="ListParagraph"/>
        <w:numPr>
          <w:ilvl w:val="0"/>
          <w:numId w:val="3"/>
        </w:numPr>
      </w:pPr>
      <w:r>
        <w:t>Ask for broader sets of input from family or caregivers, and</w:t>
      </w:r>
    </w:p>
    <w:p w14:paraId="17403FF8" w14:textId="77777777" w:rsidR="000D3AE5" w:rsidRPr="00786DD3" w:rsidRDefault="000D3AE5" w:rsidP="00786DD3">
      <w:pPr>
        <w:pStyle w:val="ListParagraph"/>
        <w:numPr>
          <w:ilvl w:val="0"/>
          <w:numId w:val="3"/>
        </w:numPr>
      </w:pPr>
      <w:r>
        <w:t>Use the manual for clarifications, example strategies, and case studies.</w:t>
      </w:r>
    </w:p>
    <w:p w14:paraId="17668BA8" w14:textId="7E674B94" w:rsidR="001F27F4" w:rsidRDefault="000D3AE5" w:rsidP="006A2D41">
      <w:pPr>
        <w:pStyle w:val="Heading2"/>
      </w:pPr>
      <w:bookmarkStart w:id="43" w:name="_Toc233298013"/>
      <w:r>
        <w:t>Assessment Summary</w:t>
      </w:r>
      <w:bookmarkEnd w:id="43"/>
    </w:p>
    <w:p w14:paraId="67EC5554" w14:textId="5BCB6C11" w:rsidR="000D3AE5" w:rsidRDefault="000D3AE5" w:rsidP="006A2D41">
      <w:r>
        <w:t>Assessors:</w:t>
      </w:r>
    </w:p>
    <w:p w14:paraId="709261E9" w14:textId="77777777" w:rsidR="000D3AE5" w:rsidRDefault="000D3AE5" w:rsidP="00786DD3">
      <w:pPr>
        <w:pStyle w:val="ListParagraph"/>
        <w:numPr>
          <w:ilvl w:val="0"/>
          <w:numId w:val="3"/>
        </w:numPr>
      </w:pPr>
      <w:r>
        <w:t>Use clinical professional judgement, specialized knowledge and experience in the scoring and coding process.</w:t>
      </w:r>
    </w:p>
    <w:p w14:paraId="3AC32526" w14:textId="77777777" w:rsidR="000D3AE5" w:rsidRDefault="000D3AE5" w:rsidP="00786DD3">
      <w:pPr>
        <w:pStyle w:val="ListParagraph"/>
        <w:numPr>
          <w:ilvl w:val="0"/>
          <w:numId w:val="3"/>
        </w:numPr>
      </w:pPr>
      <w:r>
        <w:t>Ensure that the scoring/coding accurately reflects the observed and demonstrated levels of capacity and/or performance.</w:t>
      </w:r>
    </w:p>
    <w:p w14:paraId="6B75063B" w14:textId="77777777" w:rsidR="000D3AE5" w:rsidRDefault="000D3AE5" w:rsidP="00786DD3">
      <w:pPr>
        <w:pStyle w:val="ListParagraph"/>
        <w:numPr>
          <w:ilvl w:val="0"/>
          <w:numId w:val="3"/>
        </w:numPr>
      </w:pPr>
      <w:r>
        <w:t>Complete coding based on conversations and observations.</w:t>
      </w:r>
    </w:p>
    <w:p w14:paraId="6E84AD94" w14:textId="77777777" w:rsidR="000D3AE5" w:rsidRDefault="000D3AE5" w:rsidP="006A2D41">
      <w:r>
        <w:t>There is no “right” order. Complete the assessment based on where the participant takes the conversation.</w:t>
      </w:r>
    </w:p>
    <w:p w14:paraId="78957790" w14:textId="5F1CD4F4" w:rsidR="000D3AE5" w:rsidRDefault="000D3AE5" w:rsidP="006A2D41">
      <w:r>
        <w:t xml:space="preserve">Base the coding and input on a </w:t>
      </w:r>
      <w:r w:rsidR="00C03478">
        <w:t>three</w:t>
      </w:r>
      <w:r>
        <w:t>-day observation period defined as the assessment date and the two days prior.</w:t>
      </w:r>
    </w:p>
    <w:p w14:paraId="69703A98" w14:textId="77777777" w:rsidR="000D3AE5" w:rsidRDefault="000D3AE5" w:rsidP="006A2D41">
      <w:r>
        <w:t>Keep things conversational.</w:t>
      </w:r>
    </w:p>
    <w:p w14:paraId="2B96AF75" w14:textId="77777777" w:rsidR="000D3AE5" w:rsidRDefault="000D3AE5" w:rsidP="006A2D41">
      <w:pPr>
        <w:rPr>
          <w:rFonts w:ascii="Microsoft Sans Serif" w:hAnsi="Microsoft Sans Serif" w:cs="Microsoft Sans Serif"/>
          <w:sz w:val="17"/>
          <w:szCs w:val="17"/>
        </w:rPr>
      </w:pPr>
      <w:r>
        <w:t>Now, let’s see what you’ve learned with a quick knowledge check.</w:t>
      </w:r>
    </w:p>
    <w:p w14:paraId="7FFE707A" w14:textId="7B63F434" w:rsidR="001F27F4" w:rsidRDefault="000D3AE5" w:rsidP="006A2D41">
      <w:pPr>
        <w:pStyle w:val="Heading2"/>
      </w:pPr>
      <w:bookmarkStart w:id="44" w:name="_Toc233298014"/>
      <w:r>
        <w:t>Knowledge Check</w:t>
      </w:r>
      <w:bookmarkEnd w:id="44"/>
    </w:p>
    <w:p w14:paraId="2B22AFDC" w14:textId="081C776E" w:rsidR="00326F68" w:rsidRDefault="00326F68" w:rsidP="00326F68">
      <w:r>
        <w:t>1</w:t>
      </w:r>
      <w:r w:rsidR="00AD5F0C">
        <w:t>.</w:t>
      </w:r>
      <w:r>
        <w:t xml:space="preserve"> The assessment reference date is used to determine the three-day observation window.</w:t>
      </w:r>
    </w:p>
    <w:p w14:paraId="1AF82697" w14:textId="77777777" w:rsidR="00326F68" w:rsidRDefault="00326F68" w:rsidP="00326F68">
      <w:r>
        <w:t>True</w:t>
      </w:r>
    </w:p>
    <w:p w14:paraId="41FF6F8E" w14:textId="62A62577" w:rsidR="00326F68" w:rsidRDefault="00326F68" w:rsidP="00326F68">
      <w:r>
        <w:t>False</w:t>
      </w:r>
    </w:p>
    <w:p w14:paraId="1BD92D98" w14:textId="79E53D60" w:rsidR="00326F68" w:rsidRDefault="00326F68" w:rsidP="00326F68">
      <w:r w:rsidRPr="00326F68">
        <w:t>Please pause and consider your response.</w:t>
      </w:r>
    </w:p>
    <w:p w14:paraId="7C821A9A" w14:textId="24FBDEF9" w:rsidR="00326F68" w:rsidRDefault="00326F68" w:rsidP="00326F68">
      <w:r w:rsidRPr="00326F68">
        <w:t xml:space="preserve">The correct response is true. </w:t>
      </w:r>
      <w:r>
        <w:t>The assessment reference date is used to determine the three-day observation window.</w:t>
      </w:r>
    </w:p>
    <w:p w14:paraId="5FCE07CA" w14:textId="471E724E" w:rsidR="00AD5F0C" w:rsidRDefault="00AD5F0C" w:rsidP="00AD5F0C">
      <w:r>
        <w:t>2. The three-day observation window refers to the 72-hour rolling window from the time of the assessment meeting.</w:t>
      </w:r>
    </w:p>
    <w:p w14:paraId="2702E15F" w14:textId="0BF5E26E" w:rsidR="00AD5F0C" w:rsidRDefault="00AD5F0C" w:rsidP="00AD5F0C">
      <w:r>
        <w:t>True</w:t>
      </w:r>
    </w:p>
    <w:p w14:paraId="348CC1AB" w14:textId="00C4762A" w:rsidR="00AD5F0C" w:rsidRDefault="00AD5F0C" w:rsidP="00AD5F0C">
      <w:r>
        <w:lastRenderedPageBreak/>
        <w:t>False</w:t>
      </w:r>
    </w:p>
    <w:p w14:paraId="3D55C937" w14:textId="53D4E4F7" w:rsidR="00AD5F0C" w:rsidRDefault="00AD5F0C" w:rsidP="00AD5F0C">
      <w:r w:rsidRPr="00AD5F0C">
        <w:t>Please pause and consider your response.</w:t>
      </w:r>
    </w:p>
    <w:p w14:paraId="42DFBC81" w14:textId="0ECBD923" w:rsidR="00AD5F0C" w:rsidRDefault="00AD5F0C" w:rsidP="00AD5F0C">
      <w:r w:rsidRPr="00AD5F0C">
        <w:t xml:space="preserve">The correct response is </w:t>
      </w:r>
      <w:r>
        <w:t>false</w:t>
      </w:r>
      <w:r w:rsidRPr="00AD5F0C">
        <w:t>.</w:t>
      </w:r>
      <w:r>
        <w:t xml:space="preserve"> The three-day window is based on calendar days, not hours. It includes the assessment reference date even if the meeting is early in the morning.</w:t>
      </w:r>
    </w:p>
    <w:p w14:paraId="35FE7C2A" w14:textId="28DD9EFE" w:rsidR="00AD5F0C" w:rsidRDefault="00AD5F0C" w:rsidP="00AD5F0C">
      <w:r>
        <w:t>3. If a person did not bathe in the observation window because they need a caregiver to fully assist them and the caregiver was not scheduled to come, the activity would be coded as a “6” for completely dependent.</w:t>
      </w:r>
    </w:p>
    <w:p w14:paraId="23C751FA" w14:textId="6D5C3859" w:rsidR="00AD5F0C" w:rsidRDefault="00AD5F0C" w:rsidP="00AD5F0C">
      <w:r>
        <w:t>True</w:t>
      </w:r>
    </w:p>
    <w:p w14:paraId="30A098A5" w14:textId="35DCA96B" w:rsidR="00AD5F0C" w:rsidRDefault="00AD5F0C" w:rsidP="00AD5F0C">
      <w:r>
        <w:t>False</w:t>
      </w:r>
    </w:p>
    <w:p w14:paraId="1C0CCDF5" w14:textId="12A7CBB0" w:rsidR="00AD5F0C" w:rsidRDefault="00AD5F0C" w:rsidP="00AD5F0C">
      <w:r w:rsidRPr="00AD5F0C">
        <w:t>Please pause and consider your response.</w:t>
      </w:r>
    </w:p>
    <w:p w14:paraId="3E8533BC" w14:textId="0DD2009C" w:rsidR="00AD5F0C" w:rsidRDefault="00AD5F0C" w:rsidP="00AD5F0C">
      <w:r w:rsidRPr="00AD5F0C">
        <w:t>The correct response is false.</w:t>
      </w:r>
      <w:r>
        <w:t xml:space="preserve"> It would be coded as “8” for Activity Did Not Occur. The assessor could provide the reason in the comments.</w:t>
      </w:r>
    </w:p>
    <w:p w14:paraId="1D99BDDB" w14:textId="384A540F" w:rsidR="00836703" w:rsidRDefault="00836703" w:rsidP="00836703">
      <w:r>
        <w:t>4. NFCE scoring is based on partial and full deficits.</w:t>
      </w:r>
    </w:p>
    <w:p w14:paraId="39C30B11" w14:textId="19117C7E" w:rsidR="00836703" w:rsidRDefault="00836703" w:rsidP="00836703">
      <w:r>
        <w:t>True</w:t>
      </w:r>
    </w:p>
    <w:p w14:paraId="0A8C6F22" w14:textId="4EE19EA0" w:rsidR="00836703" w:rsidRDefault="00836703" w:rsidP="00836703">
      <w:r>
        <w:t>False</w:t>
      </w:r>
    </w:p>
    <w:p w14:paraId="48902AAA" w14:textId="11A11922" w:rsidR="00836703" w:rsidRDefault="00836703" w:rsidP="00836703">
      <w:r w:rsidRPr="00836703">
        <w:t>Please pause and consider your response.</w:t>
      </w:r>
    </w:p>
    <w:p w14:paraId="6960A00D" w14:textId="444E4CA1" w:rsidR="00836703" w:rsidRDefault="00836703" w:rsidP="00836703">
      <w:r w:rsidRPr="00836703">
        <w:t xml:space="preserve">The correct response is true. </w:t>
      </w:r>
      <w:r>
        <w:t>NFCE scoring is based on partial and full deficits.</w:t>
      </w:r>
    </w:p>
    <w:p w14:paraId="0903F1D0" w14:textId="0F0CDBD2" w:rsidR="009F61DE" w:rsidRDefault="009F61DE" w:rsidP="009F61DE">
      <w:r>
        <w:t>5. Because the FED is in a PDF document, it has no relation to the interRAI Assessment Tool.</w:t>
      </w:r>
    </w:p>
    <w:p w14:paraId="3DD81B5F" w14:textId="36527BBD" w:rsidR="009F61DE" w:rsidRDefault="009F61DE" w:rsidP="009F61DE">
      <w:r>
        <w:t>True</w:t>
      </w:r>
    </w:p>
    <w:p w14:paraId="269EE281" w14:textId="3DDBDA4C" w:rsidR="009F61DE" w:rsidRDefault="009F61DE" w:rsidP="009F61DE">
      <w:r>
        <w:t>False</w:t>
      </w:r>
    </w:p>
    <w:p w14:paraId="38644448" w14:textId="4FCED92D" w:rsidR="009F61DE" w:rsidRDefault="009F61DE" w:rsidP="009F61DE">
      <w:r w:rsidRPr="009F61DE">
        <w:t>Please pause and consider your response.</w:t>
      </w:r>
    </w:p>
    <w:p w14:paraId="7E501EA6" w14:textId="1BD86E62" w:rsidR="009F61DE" w:rsidRDefault="009F61DE" w:rsidP="009F61DE">
      <w:r w:rsidRPr="009F61DE">
        <w:t>The correct response is false.</w:t>
      </w:r>
      <w:r>
        <w:t xml:space="preserve"> The categories and activities are the same and should be consistently assessed regardless of the assessor or the reason for the assessment.</w:t>
      </w:r>
    </w:p>
    <w:p w14:paraId="3FFB142A" w14:textId="21B93B1E" w:rsidR="009F61DE" w:rsidRDefault="009F61DE" w:rsidP="009F61DE">
      <w:r>
        <w:t>6. Aging Well PA is the organization whose assessors determine initial eligibility for Community HealthChoices.</w:t>
      </w:r>
    </w:p>
    <w:p w14:paraId="4D326897" w14:textId="374B3EF2" w:rsidR="009F61DE" w:rsidRDefault="009F61DE" w:rsidP="009F61DE">
      <w:r>
        <w:t>True</w:t>
      </w:r>
    </w:p>
    <w:p w14:paraId="21E34BC3" w14:textId="5CBA9B96" w:rsidR="009F61DE" w:rsidRDefault="009F61DE" w:rsidP="009F61DE">
      <w:r>
        <w:t>False</w:t>
      </w:r>
    </w:p>
    <w:p w14:paraId="27DE48B0" w14:textId="3370DE50" w:rsidR="009F61DE" w:rsidRDefault="009F61DE" w:rsidP="009F61DE">
      <w:r w:rsidRPr="009F61DE">
        <w:lastRenderedPageBreak/>
        <w:t>Please pause and consider your response.</w:t>
      </w:r>
    </w:p>
    <w:p w14:paraId="6B80819C" w14:textId="72FA2DC0" w:rsidR="009F61DE" w:rsidRDefault="009F61DE" w:rsidP="009F61DE">
      <w:r w:rsidRPr="009F61DE">
        <w:t>The correct response is true.</w:t>
      </w:r>
      <w:r>
        <w:t xml:space="preserve"> Aging Well PA is the organization whose assessors determine initial eligibility for Community HealthChoices.</w:t>
      </w:r>
    </w:p>
    <w:p w14:paraId="6704139F" w14:textId="44A154DB" w:rsidR="00D17CC8" w:rsidRDefault="00D17CC8" w:rsidP="00D17CC8">
      <w:r>
        <w:t>7. MCO assessors (typically service coordinators) assess participants in 365-day intervals or if there is a trigger event.</w:t>
      </w:r>
    </w:p>
    <w:p w14:paraId="7A59BA0E" w14:textId="7CDC0E4D" w:rsidR="00D17CC8" w:rsidRDefault="00D17CC8" w:rsidP="00D17CC8">
      <w:r>
        <w:t>True</w:t>
      </w:r>
    </w:p>
    <w:p w14:paraId="5F43982E" w14:textId="211DA665" w:rsidR="00D17CC8" w:rsidRDefault="00D17CC8" w:rsidP="00D17CC8">
      <w:r>
        <w:t>False</w:t>
      </w:r>
    </w:p>
    <w:p w14:paraId="6D4B8056" w14:textId="6B43370B" w:rsidR="00D17CC8" w:rsidRDefault="00D17CC8" w:rsidP="00D17CC8">
      <w:r w:rsidRPr="00D17CC8">
        <w:t xml:space="preserve">The correct response is true. </w:t>
      </w:r>
      <w:r>
        <w:t>MCO assessors (typically service coordinators) assess participants in 365-day intervals or if there is a trigger event.</w:t>
      </w:r>
    </w:p>
    <w:p w14:paraId="05949BCF" w14:textId="4AACDB7C" w:rsidR="001F27F4" w:rsidRDefault="000D3AE5" w:rsidP="00F216E3">
      <w:pPr>
        <w:pStyle w:val="Heading2"/>
      </w:pPr>
      <w:bookmarkStart w:id="45" w:name="_Toc233298015"/>
      <w:r>
        <w:t>Conclusion &amp; Next Steps</w:t>
      </w:r>
      <w:bookmarkEnd w:id="45"/>
    </w:p>
    <w:p w14:paraId="66658C62" w14:textId="596A9600" w:rsidR="001F27F4" w:rsidRDefault="000D3AE5" w:rsidP="006A2D41">
      <w:r>
        <w:t xml:space="preserve">Thank you for completing the interRAI Version 10 training. </w:t>
      </w:r>
      <w:r w:rsidR="00F216E3" w:rsidRPr="00F216E3">
        <w:t xml:space="preserve">To register completion of this training, you must watch the online course and then complete an online form. </w:t>
      </w:r>
      <w:r>
        <w:t>After submitting the form, a certificate will be generated for you. Please be sure to print the certificate.</w:t>
      </w:r>
    </w:p>
    <w:sectPr w:rsidR="001F27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04FA" w14:textId="77777777" w:rsidR="00220794" w:rsidRDefault="00220794" w:rsidP="006A2D41">
      <w:r>
        <w:separator/>
      </w:r>
    </w:p>
  </w:endnote>
  <w:endnote w:type="continuationSeparator" w:id="0">
    <w:p w14:paraId="594D70DC" w14:textId="77777777" w:rsidR="00220794" w:rsidRDefault="00220794" w:rsidP="006A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100E" w14:textId="1E1B146D" w:rsidR="001F27F4" w:rsidRPr="006A2D41" w:rsidRDefault="006A2D41" w:rsidP="006A2D41">
    <w:pPr>
      <w:pStyle w:val="Footer"/>
      <w:jc w:val="center"/>
    </w:pPr>
    <w:r w:rsidRPr="006A2D41">
      <w:t xml:space="preserve">Page </w:t>
    </w:r>
    <w:r w:rsidRPr="006A2D41">
      <w:fldChar w:fldCharType="begin"/>
    </w:r>
    <w:r w:rsidRPr="006A2D41">
      <w:instrText xml:space="preserve"> PAGE  \* Arabic  \* MERGEFORMAT </w:instrText>
    </w:r>
    <w:r w:rsidRPr="006A2D41">
      <w:fldChar w:fldCharType="separate"/>
    </w:r>
    <w:r w:rsidRPr="006A2D41">
      <w:rPr>
        <w:noProof/>
      </w:rPr>
      <w:t>1</w:t>
    </w:r>
    <w:r w:rsidRPr="006A2D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4B77" w14:textId="77777777" w:rsidR="00220794" w:rsidRDefault="00220794" w:rsidP="006A2D41">
      <w:r>
        <w:separator/>
      </w:r>
    </w:p>
  </w:footnote>
  <w:footnote w:type="continuationSeparator" w:id="0">
    <w:p w14:paraId="1CD39AF9" w14:textId="77777777" w:rsidR="00220794" w:rsidRDefault="00220794" w:rsidP="006A2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AE3760"/>
    <w:lvl w:ilvl="0">
      <w:numFmt w:val="bullet"/>
      <w:lvlText w:val="*"/>
      <w:lvlJc w:val="left"/>
    </w:lvl>
  </w:abstractNum>
  <w:abstractNum w:abstractNumId="1" w15:restartNumberingAfterBreak="0">
    <w:nsid w:val="019E3A89"/>
    <w:multiLevelType w:val="hybridMultilevel"/>
    <w:tmpl w:val="972C15B4"/>
    <w:lvl w:ilvl="0" w:tplc="04684BB6">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D0AB3"/>
    <w:multiLevelType w:val="hybridMultilevel"/>
    <w:tmpl w:val="38C66924"/>
    <w:lvl w:ilvl="0" w:tplc="04684BB6">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4E0D4F"/>
    <w:multiLevelType w:val="hybridMultilevel"/>
    <w:tmpl w:val="99E0AA56"/>
    <w:lvl w:ilvl="0" w:tplc="04684BB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163630">
    <w:abstractNumId w:val="0"/>
    <w:lvlOverride w:ilvl="0">
      <w:lvl w:ilvl="0">
        <w:numFmt w:val="bullet"/>
        <w:lvlText w:val=""/>
        <w:legacy w:legacy="1" w:legacySpace="0" w:legacyIndent="140"/>
        <w:lvlJc w:val="left"/>
        <w:rPr>
          <w:rFonts w:ascii="Symbol" w:hAnsi="Symbol" w:hint="default"/>
        </w:rPr>
      </w:lvl>
    </w:lvlOverride>
  </w:num>
  <w:num w:numId="2" w16cid:durableId="1576626125">
    <w:abstractNumId w:val="1"/>
  </w:num>
  <w:num w:numId="3" w16cid:durableId="73666027">
    <w:abstractNumId w:val="2"/>
  </w:num>
  <w:num w:numId="4" w16cid:durableId="158514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BE"/>
    <w:rsid w:val="00004301"/>
    <w:rsid w:val="00026D1D"/>
    <w:rsid w:val="00072C76"/>
    <w:rsid w:val="000762E3"/>
    <w:rsid w:val="000D3AE5"/>
    <w:rsid w:val="000F1781"/>
    <w:rsid w:val="00110A77"/>
    <w:rsid w:val="00122FD8"/>
    <w:rsid w:val="00135679"/>
    <w:rsid w:val="00160683"/>
    <w:rsid w:val="00184195"/>
    <w:rsid w:val="001F27F4"/>
    <w:rsid w:val="00220794"/>
    <w:rsid w:val="00220C95"/>
    <w:rsid w:val="00245B61"/>
    <w:rsid w:val="002511BF"/>
    <w:rsid w:val="00257CC5"/>
    <w:rsid w:val="00282550"/>
    <w:rsid w:val="002D6361"/>
    <w:rsid w:val="0031293C"/>
    <w:rsid w:val="00316F2E"/>
    <w:rsid w:val="00317758"/>
    <w:rsid w:val="00326F68"/>
    <w:rsid w:val="003403CA"/>
    <w:rsid w:val="00341E20"/>
    <w:rsid w:val="003B6AB1"/>
    <w:rsid w:val="00416837"/>
    <w:rsid w:val="00430BA6"/>
    <w:rsid w:val="00457246"/>
    <w:rsid w:val="00466DA4"/>
    <w:rsid w:val="004D7311"/>
    <w:rsid w:val="004E6ECF"/>
    <w:rsid w:val="00524BB8"/>
    <w:rsid w:val="00552866"/>
    <w:rsid w:val="005A2C0D"/>
    <w:rsid w:val="005B7680"/>
    <w:rsid w:val="005C12BE"/>
    <w:rsid w:val="005E39E5"/>
    <w:rsid w:val="00626EC1"/>
    <w:rsid w:val="006A2D41"/>
    <w:rsid w:val="006B454E"/>
    <w:rsid w:val="006D088C"/>
    <w:rsid w:val="00734CBB"/>
    <w:rsid w:val="007422F1"/>
    <w:rsid w:val="00745E41"/>
    <w:rsid w:val="00786DD3"/>
    <w:rsid w:val="00792A3B"/>
    <w:rsid w:val="007F5E39"/>
    <w:rsid w:val="00802FDF"/>
    <w:rsid w:val="00812CC8"/>
    <w:rsid w:val="00817151"/>
    <w:rsid w:val="00836703"/>
    <w:rsid w:val="00837D29"/>
    <w:rsid w:val="0085632F"/>
    <w:rsid w:val="009459ED"/>
    <w:rsid w:val="009571C6"/>
    <w:rsid w:val="0096779E"/>
    <w:rsid w:val="00970988"/>
    <w:rsid w:val="009921A1"/>
    <w:rsid w:val="009F61DE"/>
    <w:rsid w:val="00A256DA"/>
    <w:rsid w:val="00A662E6"/>
    <w:rsid w:val="00A84AC4"/>
    <w:rsid w:val="00AD5F0C"/>
    <w:rsid w:val="00AF70B5"/>
    <w:rsid w:val="00B939FD"/>
    <w:rsid w:val="00BC64B3"/>
    <w:rsid w:val="00BD7C16"/>
    <w:rsid w:val="00BF3BA5"/>
    <w:rsid w:val="00BF48BE"/>
    <w:rsid w:val="00C03478"/>
    <w:rsid w:val="00C45158"/>
    <w:rsid w:val="00D17CC8"/>
    <w:rsid w:val="00D8333C"/>
    <w:rsid w:val="00DC78C1"/>
    <w:rsid w:val="00E13C82"/>
    <w:rsid w:val="00E323CE"/>
    <w:rsid w:val="00E34F81"/>
    <w:rsid w:val="00E7115A"/>
    <w:rsid w:val="00E7358B"/>
    <w:rsid w:val="00E74324"/>
    <w:rsid w:val="00E91B34"/>
    <w:rsid w:val="00EB52EF"/>
    <w:rsid w:val="00ED7168"/>
    <w:rsid w:val="00F05855"/>
    <w:rsid w:val="00F216E3"/>
    <w:rsid w:val="00F42EEA"/>
    <w:rsid w:val="00F60DAE"/>
    <w:rsid w:val="00FD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2168B"/>
  <w15:chartTrackingRefBased/>
  <w15:docId w15:val="{D90BCA68-B2D6-4A38-B602-6B26E01E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1"/>
    <w:pPr>
      <w:spacing w:before="240" w:after="0" w:line="240" w:lineRule="auto"/>
    </w:pPr>
    <w:rPr>
      <w:rFonts w:ascii="Arial" w:hAnsi="Arial"/>
      <w:color w:val="000000" w:themeColor="text1"/>
    </w:rPr>
  </w:style>
  <w:style w:type="paragraph" w:styleId="Heading1">
    <w:name w:val="heading 1"/>
    <w:basedOn w:val="Normal"/>
    <w:next w:val="Normal"/>
    <w:link w:val="Heading1Char"/>
    <w:uiPriority w:val="9"/>
    <w:qFormat/>
    <w:rsid w:val="006A2D41"/>
    <w:pPr>
      <w:keepNext/>
      <w:keepLines/>
      <w:spacing w:before="360"/>
      <w:jc w:val="center"/>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6A2D41"/>
    <w:pPr>
      <w:keepNext/>
      <w:keepLines/>
      <w:outlineLvl w:val="1"/>
    </w:pPr>
    <w:rPr>
      <w:rFonts w:eastAsiaTheme="majorEastAsia" w:cstheme="majorBidi"/>
      <w:b/>
      <w:i/>
      <w:sz w:val="28"/>
      <w:szCs w:val="32"/>
    </w:rPr>
  </w:style>
  <w:style w:type="paragraph" w:styleId="Heading3">
    <w:name w:val="heading 3"/>
    <w:basedOn w:val="Normal"/>
    <w:next w:val="Normal"/>
    <w:link w:val="Heading3Char"/>
    <w:uiPriority w:val="9"/>
    <w:unhideWhenUsed/>
    <w:qFormat/>
    <w:rsid w:val="00004301"/>
    <w:pPr>
      <w:keepNext/>
      <w:keepLines/>
      <w:outlineLvl w:val="2"/>
    </w:pPr>
    <w:rPr>
      <w:rFonts w:eastAsiaTheme="majorEastAsia" w:cstheme="majorBidi"/>
      <w:b/>
      <w:sz w:val="26"/>
      <w:szCs w:val="28"/>
    </w:rPr>
  </w:style>
  <w:style w:type="paragraph" w:styleId="Heading4">
    <w:name w:val="heading 4"/>
    <w:basedOn w:val="Normal"/>
    <w:next w:val="Normal"/>
    <w:link w:val="Heading4Char"/>
    <w:uiPriority w:val="9"/>
    <w:unhideWhenUsed/>
    <w:qFormat/>
    <w:rsid w:val="00316F2E"/>
    <w:pPr>
      <w:keepNext/>
      <w:keepLines/>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9571C6"/>
    <w:pPr>
      <w:keepNext/>
      <w:keepLines/>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F48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41"/>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6A2D41"/>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sid w:val="00004301"/>
    <w:rPr>
      <w:rFonts w:ascii="Arial" w:eastAsiaTheme="majorEastAsia" w:hAnsi="Arial" w:cstheme="majorBidi"/>
      <w:b/>
      <w:color w:val="000000" w:themeColor="text1"/>
      <w:sz w:val="26"/>
      <w:szCs w:val="28"/>
    </w:rPr>
  </w:style>
  <w:style w:type="character" w:customStyle="1" w:styleId="Heading4Char">
    <w:name w:val="Heading 4 Char"/>
    <w:basedOn w:val="DefaultParagraphFont"/>
    <w:link w:val="Heading4"/>
    <w:uiPriority w:val="9"/>
    <w:rsid w:val="00316F2E"/>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9571C6"/>
    <w:rPr>
      <w:rFonts w:ascii="Arial" w:eastAsiaTheme="majorEastAsia" w:hAnsi="Arial" w:cstheme="majorBidi"/>
      <w:b/>
      <w:bCs/>
      <w:color w:val="000000" w:themeColor="text1"/>
    </w:rPr>
  </w:style>
  <w:style w:type="character" w:customStyle="1" w:styleId="Heading6Char">
    <w:name w:val="Heading 6 Char"/>
    <w:basedOn w:val="DefaultParagraphFont"/>
    <w:link w:val="Heading6"/>
    <w:uiPriority w:val="9"/>
    <w:semiHidden/>
    <w:rsid w:val="00BF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BE"/>
    <w:rPr>
      <w:rFonts w:eastAsiaTheme="majorEastAsia" w:cstheme="majorBidi"/>
      <w:color w:val="272727" w:themeColor="text1" w:themeTint="D8"/>
    </w:rPr>
  </w:style>
  <w:style w:type="paragraph" w:styleId="Title">
    <w:name w:val="Title"/>
    <w:basedOn w:val="Normal"/>
    <w:next w:val="Normal"/>
    <w:link w:val="TitleChar"/>
    <w:uiPriority w:val="10"/>
    <w:qFormat/>
    <w:rsid w:val="00BF48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BE"/>
    <w:pPr>
      <w:spacing w:before="160"/>
      <w:jc w:val="center"/>
    </w:pPr>
    <w:rPr>
      <w:i/>
      <w:iCs/>
      <w:color w:val="404040" w:themeColor="text1" w:themeTint="BF"/>
    </w:rPr>
  </w:style>
  <w:style w:type="character" w:customStyle="1" w:styleId="QuoteChar">
    <w:name w:val="Quote Char"/>
    <w:basedOn w:val="DefaultParagraphFont"/>
    <w:link w:val="Quote"/>
    <w:uiPriority w:val="29"/>
    <w:rsid w:val="00BF48BE"/>
    <w:rPr>
      <w:i/>
      <w:iCs/>
      <w:color w:val="404040" w:themeColor="text1" w:themeTint="BF"/>
    </w:rPr>
  </w:style>
  <w:style w:type="paragraph" w:styleId="ListParagraph">
    <w:name w:val="List Paragraph"/>
    <w:basedOn w:val="Normal"/>
    <w:uiPriority w:val="34"/>
    <w:qFormat/>
    <w:rsid w:val="00BF48BE"/>
    <w:pPr>
      <w:ind w:left="720"/>
      <w:contextualSpacing/>
    </w:pPr>
  </w:style>
  <w:style w:type="character" w:styleId="IntenseEmphasis">
    <w:name w:val="Intense Emphasis"/>
    <w:basedOn w:val="DefaultParagraphFont"/>
    <w:uiPriority w:val="21"/>
    <w:qFormat/>
    <w:rsid w:val="00BF48BE"/>
    <w:rPr>
      <w:i/>
      <w:iCs/>
      <w:color w:val="0F4761" w:themeColor="accent1" w:themeShade="BF"/>
    </w:rPr>
  </w:style>
  <w:style w:type="paragraph" w:styleId="IntenseQuote">
    <w:name w:val="Intense Quote"/>
    <w:basedOn w:val="Normal"/>
    <w:next w:val="Normal"/>
    <w:link w:val="IntenseQuoteChar"/>
    <w:uiPriority w:val="30"/>
    <w:qFormat/>
    <w:rsid w:val="00BF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BE"/>
    <w:rPr>
      <w:i/>
      <w:iCs/>
      <w:color w:val="0F4761" w:themeColor="accent1" w:themeShade="BF"/>
    </w:rPr>
  </w:style>
  <w:style w:type="character" w:styleId="IntenseReference">
    <w:name w:val="Intense Reference"/>
    <w:basedOn w:val="DefaultParagraphFont"/>
    <w:uiPriority w:val="32"/>
    <w:qFormat/>
    <w:rsid w:val="00BF48BE"/>
    <w:rPr>
      <w:b/>
      <w:bCs/>
      <w:smallCaps/>
      <w:color w:val="0F4761" w:themeColor="accent1" w:themeShade="BF"/>
      <w:spacing w:val="5"/>
    </w:rPr>
  </w:style>
  <w:style w:type="paragraph" w:styleId="Header">
    <w:name w:val="header"/>
    <w:basedOn w:val="Normal"/>
    <w:link w:val="HeaderChar"/>
    <w:uiPriority w:val="99"/>
    <w:unhideWhenUsed/>
    <w:rsid w:val="00BF48BE"/>
    <w:pPr>
      <w:tabs>
        <w:tab w:val="center" w:pos="4680"/>
        <w:tab w:val="right" w:pos="9360"/>
      </w:tabs>
    </w:pPr>
  </w:style>
  <w:style w:type="character" w:customStyle="1" w:styleId="HeaderChar">
    <w:name w:val="Header Char"/>
    <w:basedOn w:val="DefaultParagraphFont"/>
    <w:link w:val="Header"/>
    <w:uiPriority w:val="99"/>
    <w:rsid w:val="00BF48BE"/>
  </w:style>
  <w:style w:type="paragraph" w:styleId="Footer">
    <w:name w:val="footer"/>
    <w:basedOn w:val="Normal"/>
    <w:link w:val="FooterChar"/>
    <w:uiPriority w:val="99"/>
    <w:unhideWhenUsed/>
    <w:rsid w:val="00BF48BE"/>
    <w:pPr>
      <w:tabs>
        <w:tab w:val="center" w:pos="4680"/>
        <w:tab w:val="right" w:pos="9360"/>
      </w:tabs>
    </w:pPr>
  </w:style>
  <w:style w:type="character" w:customStyle="1" w:styleId="FooterChar">
    <w:name w:val="Footer Char"/>
    <w:basedOn w:val="DefaultParagraphFont"/>
    <w:link w:val="Footer"/>
    <w:uiPriority w:val="99"/>
    <w:rsid w:val="00BF48BE"/>
  </w:style>
  <w:style w:type="paragraph" w:styleId="TOCHeading">
    <w:name w:val="TOC Heading"/>
    <w:basedOn w:val="Heading1"/>
    <w:next w:val="Normal"/>
    <w:uiPriority w:val="39"/>
    <w:unhideWhenUsed/>
    <w:qFormat/>
    <w:rsid w:val="006A2D41"/>
    <w:pPr>
      <w:spacing w:before="240" w:line="259" w:lineRule="auto"/>
      <w:jc w:val="left"/>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6A2D41"/>
    <w:pPr>
      <w:spacing w:after="100"/>
    </w:pPr>
  </w:style>
  <w:style w:type="paragraph" w:styleId="TOC2">
    <w:name w:val="toc 2"/>
    <w:basedOn w:val="Normal"/>
    <w:next w:val="Normal"/>
    <w:autoRedefine/>
    <w:uiPriority w:val="39"/>
    <w:unhideWhenUsed/>
    <w:rsid w:val="006A2D41"/>
    <w:pPr>
      <w:spacing w:after="100"/>
      <w:ind w:left="240"/>
    </w:pPr>
  </w:style>
  <w:style w:type="paragraph" w:styleId="TOC3">
    <w:name w:val="toc 3"/>
    <w:basedOn w:val="Normal"/>
    <w:next w:val="Normal"/>
    <w:autoRedefine/>
    <w:uiPriority w:val="39"/>
    <w:unhideWhenUsed/>
    <w:rsid w:val="006A2D41"/>
    <w:pPr>
      <w:spacing w:after="100"/>
      <w:ind w:left="480"/>
    </w:pPr>
  </w:style>
  <w:style w:type="paragraph" w:styleId="TOC4">
    <w:name w:val="toc 4"/>
    <w:basedOn w:val="Normal"/>
    <w:next w:val="Normal"/>
    <w:autoRedefine/>
    <w:uiPriority w:val="39"/>
    <w:unhideWhenUsed/>
    <w:rsid w:val="006A2D41"/>
    <w:pPr>
      <w:spacing w:before="0" w:after="100" w:line="278" w:lineRule="auto"/>
      <w:ind w:left="720"/>
    </w:pPr>
    <w:rPr>
      <w:rFonts w:asciiTheme="minorHAnsi" w:eastAsiaTheme="minorEastAsia" w:hAnsiTheme="minorHAnsi"/>
      <w:color w:val="auto"/>
    </w:rPr>
  </w:style>
  <w:style w:type="paragraph" w:styleId="TOC5">
    <w:name w:val="toc 5"/>
    <w:basedOn w:val="Normal"/>
    <w:next w:val="Normal"/>
    <w:autoRedefine/>
    <w:uiPriority w:val="39"/>
    <w:unhideWhenUsed/>
    <w:rsid w:val="006A2D41"/>
    <w:pPr>
      <w:spacing w:before="0" w:after="100" w:line="278" w:lineRule="auto"/>
      <w:ind w:left="960"/>
    </w:pPr>
    <w:rPr>
      <w:rFonts w:asciiTheme="minorHAnsi" w:eastAsiaTheme="minorEastAsia" w:hAnsiTheme="minorHAnsi"/>
      <w:color w:val="auto"/>
    </w:rPr>
  </w:style>
  <w:style w:type="paragraph" w:styleId="TOC6">
    <w:name w:val="toc 6"/>
    <w:basedOn w:val="Normal"/>
    <w:next w:val="Normal"/>
    <w:autoRedefine/>
    <w:uiPriority w:val="39"/>
    <w:unhideWhenUsed/>
    <w:rsid w:val="006A2D41"/>
    <w:pPr>
      <w:spacing w:before="0" w:after="100" w:line="278" w:lineRule="auto"/>
      <w:ind w:left="1200"/>
    </w:pPr>
    <w:rPr>
      <w:rFonts w:asciiTheme="minorHAnsi" w:eastAsiaTheme="minorEastAsia" w:hAnsiTheme="minorHAnsi"/>
      <w:color w:val="auto"/>
    </w:rPr>
  </w:style>
  <w:style w:type="paragraph" w:styleId="TOC7">
    <w:name w:val="toc 7"/>
    <w:basedOn w:val="Normal"/>
    <w:next w:val="Normal"/>
    <w:autoRedefine/>
    <w:uiPriority w:val="39"/>
    <w:unhideWhenUsed/>
    <w:rsid w:val="006A2D41"/>
    <w:pPr>
      <w:spacing w:before="0" w:after="100" w:line="278" w:lineRule="auto"/>
      <w:ind w:left="1440"/>
    </w:pPr>
    <w:rPr>
      <w:rFonts w:asciiTheme="minorHAnsi" w:eastAsiaTheme="minorEastAsia" w:hAnsiTheme="minorHAnsi"/>
      <w:color w:val="auto"/>
    </w:rPr>
  </w:style>
  <w:style w:type="paragraph" w:styleId="TOC8">
    <w:name w:val="toc 8"/>
    <w:basedOn w:val="Normal"/>
    <w:next w:val="Normal"/>
    <w:autoRedefine/>
    <w:uiPriority w:val="39"/>
    <w:unhideWhenUsed/>
    <w:rsid w:val="006A2D41"/>
    <w:pPr>
      <w:spacing w:before="0" w:after="100" w:line="278" w:lineRule="auto"/>
      <w:ind w:left="1680"/>
    </w:pPr>
    <w:rPr>
      <w:rFonts w:asciiTheme="minorHAnsi" w:eastAsiaTheme="minorEastAsia" w:hAnsiTheme="minorHAnsi"/>
      <w:color w:val="auto"/>
    </w:rPr>
  </w:style>
  <w:style w:type="paragraph" w:styleId="TOC9">
    <w:name w:val="toc 9"/>
    <w:basedOn w:val="Normal"/>
    <w:next w:val="Normal"/>
    <w:autoRedefine/>
    <w:uiPriority w:val="39"/>
    <w:unhideWhenUsed/>
    <w:rsid w:val="006A2D41"/>
    <w:pPr>
      <w:spacing w:before="0" w:after="100" w:line="278" w:lineRule="auto"/>
      <w:ind w:left="1920"/>
    </w:pPr>
    <w:rPr>
      <w:rFonts w:asciiTheme="minorHAnsi" w:eastAsiaTheme="minorEastAsia" w:hAnsiTheme="minorHAnsi"/>
      <w:color w:val="auto"/>
    </w:rPr>
  </w:style>
  <w:style w:type="character" w:styleId="Hyperlink">
    <w:name w:val="Hyperlink"/>
    <w:basedOn w:val="DefaultParagraphFont"/>
    <w:uiPriority w:val="99"/>
    <w:unhideWhenUsed/>
    <w:rsid w:val="006A2D41"/>
    <w:rPr>
      <w:color w:val="467886" w:themeColor="hyperlink"/>
      <w:u w:val="single"/>
    </w:rPr>
  </w:style>
  <w:style w:type="character" w:styleId="UnresolvedMention">
    <w:name w:val="Unresolved Mention"/>
    <w:basedOn w:val="DefaultParagraphFont"/>
    <w:uiPriority w:val="99"/>
    <w:semiHidden/>
    <w:unhideWhenUsed/>
    <w:rsid w:val="006A2D41"/>
    <w:rPr>
      <w:color w:val="605E5C"/>
      <w:shd w:val="clear" w:color="auto" w:fill="E1DFDD"/>
    </w:rPr>
  </w:style>
  <w:style w:type="paragraph" w:styleId="Revision">
    <w:name w:val="Revision"/>
    <w:hidden/>
    <w:uiPriority w:val="99"/>
    <w:semiHidden/>
    <w:rsid w:val="007422F1"/>
    <w:pPr>
      <w:spacing w:after="0" w:line="240" w:lineRule="auto"/>
    </w:pPr>
    <w:rPr>
      <w:rFonts w:ascii="Arial" w:hAnsi="Arial"/>
      <w:color w:val="000000" w:themeColor="text1"/>
    </w:rPr>
  </w:style>
  <w:style w:type="character" w:styleId="CommentReference">
    <w:name w:val="annotation reference"/>
    <w:basedOn w:val="DefaultParagraphFont"/>
    <w:uiPriority w:val="99"/>
    <w:semiHidden/>
    <w:unhideWhenUsed/>
    <w:rsid w:val="00E74324"/>
    <w:rPr>
      <w:sz w:val="16"/>
      <w:szCs w:val="16"/>
    </w:rPr>
  </w:style>
  <w:style w:type="paragraph" w:styleId="CommentText">
    <w:name w:val="annotation text"/>
    <w:basedOn w:val="Normal"/>
    <w:link w:val="CommentTextChar"/>
    <w:uiPriority w:val="99"/>
    <w:unhideWhenUsed/>
    <w:rsid w:val="00E74324"/>
    <w:rPr>
      <w:sz w:val="20"/>
      <w:szCs w:val="20"/>
    </w:rPr>
  </w:style>
  <w:style w:type="character" w:customStyle="1" w:styleId="CommentTextChar">
    <w:name w:val="Comment Text Char"/>
    <w:basedOn w:val="DefaultParagraphFont"/>
    <w:link w:val="CommentText"/>
    <w:uiPriority w:val="99"/>
    <w:rsid w:val="00E74324"/>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74324"/>
    <w:rPr>
      <w:b/>
      <w:bCs/>
    </w:rPr>
  </w:style>
  <w:style w:type="character" w:customStyle="1" w:styleId="CommentSubjectChar">
    <w:name w:val="Comment Subject Char"/>
    <w:basedOn w:val="CommentTextChar"/>
    <w:link w:val="CommentSubject"/>
    <w:uiPriority w:val="99"/>
    <w:semiHidden/>
    <w:rsid w:val="00E74324"/>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A8F8-1E3A-410B-95E8-4E73CA80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40</Pages>
  <Words>12999</Words>
  <Characters>68896</Characters>
  <Application>Microsoft Office Word</Application>
  <DocSecurity>0</DocSecurity>
  <Lines>1350</Lines>
  <Paragraphs>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Articulate</dc:creator>
  <cp:keywords/>
  <dc:description/>
  <cp:lastModifiedBy>Brian Keefer</cp:lastModifiedBy>
  <cp:revision>21</cp:revision>
  <dcterms:created xsi:type="dcterms:W3CDTF">2026-06-24T15:48:00Z</dcterms:created>
  <dcterms:modified xsi:type="dcterms:W3CDTF">2026-06-29T19:26:00Z</dcterms:modified>
</cp:coreProperties>
</file>