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35EB" w14:textId="77777777" w:rsidR="004D7311" w:rsidRPr="00D734B7" w:rsidRDefault="004D7311" w:rsidP="00603313">
      <w:pPr>
        <w:pStyle w:val="Heading1"/>
        <w:rPr>
          <w:color w:val="000000" w:themeColor="text1"/>
        </w:rPr>
      </w:pPr>
      <w:bookmarkStart w:id="0" w:name="_Toc215931840"/>
      <w:r w:rsidRPr="00D734B7">
        <w:rPr>
          <w:color w:val="000000" w:themeColor="text1"/>
        </w:rPr>
        <w:t>Pennsylvania Assessments Version 9 Review Training</w:t>
      </w:r>
      <w:bookmarkEnd w:id="0"/>
    </w:p>
    <w:p w14:paraId="29327F5A" w14:textId="114C6ED3" w:rsidR="004D7AD3" w:rsidRPr="00D734B7" w:rsidRDefault="004D7AD3">
      <w:pPr>
        <w:spacing w:before="0" w:after="160" w:line="278" w:lineRule="auto"/>
        <w:rPr>
          <w:color w:val="000000" w:themeColor="text1"/>
        </w:rPr>
      </w:pPr>
      <w:r w:rsidRPr="00D734B7">
        <w:rPr>
          <w:color w:val="000000" w:themeColor="text1"/>
        </w:rPr>
        <w:br w:type="page"/>
      </w:r>
    </w:p>
    <w:sdt>
      <w:sdtPr>
        <w:rPr>
          <w:rFonts w:ascii="Arial" w:eastAsiaTheme="minorHAnsi" w:hAnsi="Arial" w:cstheme="minorBidi"/>
          <w:color w:val="000000" w:themeColor="text1"/>
          <w:kern w:val="2"/>
          <w:sz w:val="24"/>
          <w:szCs w:val="24"/>
          <w14:ligatures w14:val="standardContextual"/>
        </w:rPr>
        <w:id w:val="-388495624"/>
        <w:docPartObj>
          <w:docPartGallery w:val="Table of Contents"/>
          <w:docPartUnique/>
        </w:docPartObj>
      </w:sdtPr>
      <w:sdtEndPr>
        <w:rPr>
          <w:b/>
          <w:bCs/>
          <w:noProof/>
        </w:rPr>
      </w:sdtEndPr>
      <w:sdtContent>
        <w:p w14:paraId="5D28B1AA" w14:textId="74A4E184" w:rsidR="004D7AD3" w:rsidRPr="00D734B7" w:rsidRDefault="004D7AD3">
          <w:pPr>
            <w:pStyle w:val="TOCHeading"/>
            <w:rPr>
              <w:color w:val="000000" w:themeColor="text1"/>
            </w:rPr>
          </w:pPr>
          <w:r w:rsidRPr="00D734B7">
            <w:rPr>
              <w:color w:val="000000" w:themeColor="text1"/>
            </w:rPr>
            <w:t>Table of Contents</w:t>
          </w:r>
        </w:p>
        <w:p w14:paraId="31B1ECC1" w14:textId="06ABF80A" w:rsidR="00045209" w:rsidRDefault="004D7AD3">
          <w:pPr>
            <w:pStyle w:val="TOC1"/>
            <w:tabs>
              <w:tab w:val="right" w:leader="dot" w:pos="9350"/>
            </w:tabs>
            <w:rPr>
              <w:rFonts w:asciiTheme="minorHAnsi" w:eastAsiaTheme="minorEastAsia" w:hAnsiTheme="minorHAnsi"/>
              <w:noProof/>
            </w:rPr>
          </w:pPr>
          <w:r w:rsidRPr="00D734B7">
            <w:rPr>
              <w:color w:val="000000" w:themeColor="text1"/>
            </w:rPr>
            <w:fldChar w:fldCharType="begin"/>
          </w:r>
          <w:r w:rsidRPr="00D734B7">
            <w:rPr>
              <w:color w:val="000000" w:themeColor="text1"/>
            </w:rPr>
            <w:instrText xml:space="preserve"> TOC \o "1-3" \h \z \u </w:instrText>
          </w:r>
          <w:r w:rsidRPr="00D734B7">
            <w:rPr>
              <w:color w:val="000000" w:themeColor="text1"/>
            </w:rPr>
            <w:fldChar w:fldCharType="separate"/>
          </w:r>
          <w:hyperlink w:anchor="_Toc215931840" w:history="1">
            <w:r w:rsidR="00045209" w:rsidRPr="00C0013B">
              <w:rPr>
                <w:rStyle w:val="Hyperlink"/>
                <w:noProof/>
              </w:rPr>
              <w:t>Pennsylvania Assessments Version 9 Review Training</w:t>
            </w:r>
            <w:r w:rsidR="00045209">
              <w:rPr>
                <w:noProof/>
                <w:webHidden/>
              </w:rPr>
              <w:tab/>
            </w:r>
            <w:r w:rsidR="00045209">
              <w:rPr>
                <w:noProof/>
                <w:webHidden/>
              </w:rPr>
              <w:fldChar w:fldCharType="begin"/>
            </w:r>
            <w:r w:rsidR="00045209">
              <w:rPr>
                <w:noProof/>
                <w:webHidden/>
              </w:rPr>
              <w:instrText xml:space="preserve"> PAGEREF _Toc215931840 \h </w:instrText>
            </w:r>
            <w:r w:rsidR="00045209">
              <w:rPr>
                <w:noProof/>
                <w:webHidden/>
              </w:rPr>
            </w:r>
            <w:r w:rsidR="00045209">
              <w:rPr>
                <w:noProof/>
                <w:webHidden/>
              </w:rPr>
              <w:fldChar w:fldCharType="separate"/>
            </w:r>
            <w:r w:rsidR="00045209">
              <w:rPr>
                <w:noProof/>
                <w:webHidden/>
              </w:rPr>
              <w:t>1</w:t>
            </w:r>
            <w:r w:rsidR="00045209">
              <w:rPr>
                <w:noProof/>
                <w:webHidden/>
              </w:rPr>
              <w:fldChar w:fldCharType="end"/>
            </w:r>
          </w:hyperlink>
        </w:p>
        <w:p w14:paraId="11D47FB5" w14:textId="4639BF39" w:rsidR="00045209" w:rsidRDefault="00045209">
          <w:pPr>
            <w:pStyle w:val="TOC2"/>
            <w:tabs>
              <w:tab w:val="right" w:leader="dot" w:pos="9350"/>
            </w:tabs>
            <w:rPr>
              <w:rFonts w:asciiTheme="minorHAnsi" w:eastAsiaTheme="minorEastAsia" w:hAnsiTheme="minorHAnsi"/>
              <w:noProof/>
            </w:rPr>
          </w:pPr>
          <w:hyperlink w:anchor="_Toc215931841" w:history="1">
            <w:r w:rsidRPr="00C0013B">
              <w:rPr>
                <w:rStyle w:val="Hyperlink"/>
                <w:noProof/>
              </w:rPr>
              <w:t>Welcome</w:t>
            </w:r>
            <w:r>
              <w:rPr>
                <w:noProof/>
                <w:webHidden/>
              </w:rPr>
              <w:tab/>
            </w:r>
            <w:r>
              <w:rPr>
                <w:noProof/>
                <w:webHidden/>
              </w:rPr>
              <w:fldChar w:fldCharType="begin"/>
            </w:r>
            <w:r>
              <w:rPr>
                <w:noProof/>
                <w:webHidden/>
              </w:rPr>
              <w:instrText xml:space="preserve"> PAGEREF _Toc215931841 \h </w:instrText>
            </w:r>
            <w:r>
              <w:rPr>
                <w:noProof/>
                <w:webHidden/>
              </w:rPr>
            </w:r>
            <w:r>
              <w:rPr>
                <w:noProof/>
                <w:webHidden/>
              </w:rPr>
              <w:fldChar w:fldCharType="separate"/>
            </w:r>
            <w:r>
              <w:rPr>
                <w:noProof/>
                <w:webHidden/>
              </w:rPr>
              <w:t>5</w:t>
            </w:r>
            <w:r>
              <w:rPr>
                <w:noProof/>
                <w:webHidden/>
              </w:rPr>
              <w:fldChar w:fldCharType="end"/>
            </w:r>
          </w:hyperlink>
        </w:p>
        <w:p w14:paraId="20340332" w14:textId="64FC58D3" w:rsidR="00045209" w:rsidRDefault="00045209">
          <w:pPr>
            <w:pStyle w:val="TOC3"/>
            <w:tabs>
              <w:tab w:val="right" w:leader="dot" w:pos="9350"/>
            </w:tabs>
            <w:rPr>
              <w:rFonts w:asciiTheme="minorHAnsi" w:eastAsiaTheme="minorEastAsia" w:hAnsiTheme="minorHAnsi"/>
              <w:noProof/>
            </w:rPr>
          </w:pPr>
          <w:hyperlink w:anchor="_Toc215931842" w:history="1">
            <w:r w:rsidRPr="00C0013B">
              <w:rPr>
                <w:rStyle w:val="Hyperlink"/>
                <w:noProof/>
              </w:rPr>
              <w:t>Certificate</w:t>
            </w:r>
            <w:r>
              <w:rPr>
                <w:noProof/>
                <w:webHidden/>
              </w:rPr>
              <w:tab/>
            </w:r>
            <w:r>
              <w:rPr>
                <w:noProof/>
                <w:webHidden/>
              </w:rPr>
              <w:fldChar w:fldCharType="begin"/>
            </w:r>
            <w:r>
              <w:rPr>
                <w:noProof/>
                <w:webHidden/>
              </w:rPr>
              <w:instrText xml:space="preserve"> PAGEREF _Toc215931842 \h </w:instrText>
            </w:r>
            <w:r>
              <w:rPr>
                <w:noProof/>
                <w:webHidden/>
              </w:rPr>
            </w:r>
            <w:r>
              <w:rPr>
                <w:noProof/>
                <w:webHidden/>
              </w:rPr>
              <w:fldChar w:fldCharType="separate"/>
            </w:r>
            <w:r>
              <w:rPr>
                <w:noProof/>
                <w:webHidden/>
              </w:rPr>
              <w:t>5</w:t>
            </w:r>
            <w:r>
              <w:rPr>
                <w:noProof/>
                <w:webHidden/>
              </w:rPr>
              <w:fldChar w:fldCharType="end"/>
            </w:r>
          </w:hyperlink>
        </w:p>
        <w:p w14:paraId="066B50BC" w14:textId="538C5F4E" w:rsidR="00045209" w:rsidRDefault="00045209">
          <w:pPr>
            <w:pStyle w:val="TOC3"/>
            <w:tabs>
              <w:tab w:val="right" w:leader="dot" w:pos="9350"/>
            </w:tabs>
            <w:rPr>
              <w:rFonts w:asciiTheme="minorHAnsi" w:eastAsiaTheme="minorEastAsia" w:hAnsiTheme="minorHAnsi"/>
              <w:noProof/>
            </w:rPr>
          </w:pPr>
          <w:hyperlink w:anchor="_Toc215931843" w:history="1">
            <w:r w:rsidRPr="00C0013B">
              <w:rPr>
                <w:rStyle w:val="Hyperlink"/>
                <w:noProof/>
              </w:rPr>
              <w:t>Agenda</w:t>
            </w:r>
            <w:r>
              <w:rPr>
                <w:noProof/>
                <w:webHidden/>
              </w:rPr>
              <w:tab/>
            </w:r>
            <w:r>
              <w:rPr>
                <w:noProof/>
                <w:webHidden/>
              </w:rPr>
              <w:fldChar w:fldCharType="begin"/>
            </w:r>
            <w:r>
              <w:rPr>
                <w:noProof/>
                <w:webHidden/>
              </w:rPr>
              <w:instrText xml:space="preserve"> PAGEREF _Toc215931843 \h </w:instrText>
            </w:r>
            <w:r>
              <w:rPr>
                <w:noProof/>
                <w:webHidden/>
              </w:rPr>
            </w:r>
            <w:r>
              <w:rPr>
                <w:noProof/>
                <w:webHidden/>
              </w:rPr>
              <w:fldChar w:fldCharType="separate"/>
            </w:r>
            <w:r>
              <w:rPr>
                <w:noProof/>
                <w:webHidden/>
              </w:rPr>
              <w:t>5</w:t>
            </w:r>
            <w:r>
              <w:rPr>
                <w:noProof/>
                <w:webHidden/>
              </w:rPr>
              <w:fldChar w:fldCharType="end"/>
            </w:r>
          </w:hyperlink>
        </w:p>
        <w:p w14:paraId="5E04FF48" w14:textId="36FDE48D" w:rsidR="00045209" w:rsidRDefault="00045209">
          <w:pPr>
            <w:pStyle w:val="TOC3"/>
            <w:tabs>
              <w:tab w:val="right" w:leader="dot" w:pos="9350"/>
            </w:tabs>
            <w:rPr>
              <w:rFonts w:asciiTheme="minorHAnsi" w:eastAsiaTheme="minorEastAsia" w:hAnsiTheme="minorHAnsi"/>
              <w:noProof/>
            </w:rPr>
          </w:pPr>
          <w:hyperlink w:anchor="_Toc215931844" w:history="1">
            <w:r w:rsidRPr="00C0013B">
              <w:rPr>
                <w:rStyle w:val="Hyperlink"/>
                <w:noProof/>
              </w:rPr>
              <w:t>Goals</w:t>
            </w:r>
            <w:r>
              <w:rPr>
                <w:noProof/>
                <w:webHidden/>
              </w:rPr>
              <w:tab/>
            </w:r>
            <w:r>
              <w:rPr>
                <w:noProof/>
                <w:webHidden/>
              </w:rPr>
              <w:fldChar w:fldCharType="begin"/>
            </w:r>
            <w:r>
              <w:rPr>
                <w:noProof/>
                <w:webHidden/>
              </w:rPr>
              <w:instrText xml:space="preserve"> PAGEREF _Toc215931844 \h </w:instrText>
            </w:r>
            <w:r>
              <w:rPr>
                <w:noProof/>
                <w:webHidden/>
              </w:rPr>
            </w:r>
            <w:r>
              <w:rPr>
                <w:noProof/>
                <w:webHidden/>
              </w:rPr>
              <w:fldChar w:fldCharType="separate"/>
            </w:r>
            <w:r>
              <w:rPr>
                <w:noProof/>
                <w:webHidden/>
              </w:rPr>
              <w:t>5</w:t>
            </w:r>
            <w:r>
              <w:rPr>
                <w:noProof/>
                <w:webHidden/>
              </w:rPr>
              <w:fldChar w:fldCharType="end"/>
            </w:r>
          </w:hyperlink>
        </w:p>
        <w:p w14:paraId="00C255D6" w14:textId="3A94FEA9" w:rsidR="00045209" w:rsidRDefault="00045209">
          <w:pPr>
            <w:pStyle w:val="TOC3"/>
            <w:tabs>
              <w:tab w:val="right" w:leader="dot" w:pos="9350"/>
            </w:tabs>
            <w:rPr>
              <w:rFonts w:asciiTheme="minorHAnsi" w:eastAsiaTheme="minorEastAsia" w:hAnsiTheme="minorHAnsi"/>
              <w:noProof/>
            </w:rPr>
          </w:pPr>
          <w:hyperlink w:anchor="_Toc215931845" w:history="1">
            <w:r w:rsidRPr="00C0013B">
              <w:rPr>
                <w:rStyle w:val="Hyperlink"/>
                <w:noProof/>
              </w:rPr>
              <w:t>Why?</w:t>
            </w:r>
            <w:r>
              <w:rPr>
                <w:noProof/>
                <w:webHidden/>
              </w:rPr>
              <w:tab/>
            </w:r>
            <w:r>
              <w:rPr>
                <w:noProof/>
                <w:webHidden/>
              </w:rPr>
              <w:fldChar w:fldCharType="begin"/>
            </w:r>
            <w:r>
              <w:rPr>
                <w:noProof/>
                <w:webHidden/>
              </w:rPr>
              <w:instrText xml:space="preserve"> PAGEREF _Toc215931845 \h </w:instrText>
            </w:r>
            <w:r>
              <w:rPr>
                <w:noProof/>
                <w:webHidden/>
              </w:rPr>
            </w:r>
            <w:r>
              <w:rPr>
                <w:noProof/>
                <w:webHidden/>
              </w:rPr>
              <w:fldChar w:fldCharType="separate"/>
            </w:r>
            <w:r>
              <w:rPr>
                <w:noProof/>
                <w:webHidden/>
              </w:rPr>
              <w:t>5</w:t>
            </w:r>
            <w:r>
              <w:rPr>
                <w:noProof/>
                <w:webHidden/>
              </w:rPr>
              <w:fldChar w:fldCharType="end"/>
            </w:r>
          </w:hyperlink>
        </w:p>
        <w:p w14:paraId="3A639CB4" w14:textId="21ADE749" w:rsidR="00045209" w:rsidRDefault="00045209">
          <w:pPr>
            <w:pStyle w:val="TOC3"/>
            <w:tabs>
              <w:tab w:val="right" w:leader="dot" w:pos="9350"/>
            </w:tabs>
            <w:rPr>
              <w:rFonts w:asciiTheme="minorHAnsi" w:eastAsiaTheme="minorEastAsia" w:hAnsiTheme="minorHAnsi"/>
              <w:noProof/>
            </w:rPr>
          </w:pPr>
          <w:hyperlink w:anchor="_Toc215931846" w:history="1">
            <w:r w:rsidRPr="00C0013B">
              <w:rPr>
                <w:rStyle w:val="Hyperlink"/>
                <w:noProof/>
              </w:rPr>
              <w:t>Key Resources</w:t>
            </w:r>
            <w:r>
              <w:rPr>
                <w:noProof/>
                <w:webHidden/>
              </w:rPr>
              <w:tab/>
            </w:r>
            <w:r>
              <w:rPr>
                <w:noProof/>
                <w:webHidden/>
              </w:rPr>
              <w:fldChar w:fldCharType="begin"/>
            </w:r>
            <w:r>
              <w:rPr>
                <w:noProof/>
                <w:webHidden/>
              </w:rPr>
              <w:instrText xml:space="preserve"> PAGEREF _Toc215931846 \h </w:instrText>
            </w:r>
            <w:r>
              <w:rPr>
                <w:noProof/>
                <w:webHidden/>
              </w:rPr>
            </w:r>
            <w:r>
              <w:rPr>
                <w:noProof/>
                <w:webHidden/>
              </w:rPr>
              <w:fldChar w:fldCharType="separate"/>
            </w:r>
            <w:r>
              <w:rPr>
                <w:noProof/>
                <w:webHidden/>
              </w:rPr>
              <w:t>5</w:t>
            </w:r>
            <w:r>
              <w:rPr>
                <w:noProof/>
                <w:webHidden/>
              </w:rPr>
              <w:fldChar w:fldCharType="end"/>
            </w:r>
          </w:hyperlink>
        </w:p>
        <w:p w14:paraId="1A7F7472" w14:textId="22CBACEA" w:rsidR="00045209" w:rsidRDefault="00045209">
          <w:pPr>
            <w:pStyle w:val="TOC3"/>
            <w:tabs>
              <w:tab w:val="right" w:leader="dot" w:pos="9350"/>
            </w:tabs>
            <w:rPr>
              <w:rFonts w:asciiTheme="minorHAnsi" w:eastAsiaTheme="minorEastAsia" w:hAnsiTheme="minorHAnsi"/>
              <w:noProof/>
            </w:rPr>
          </w:pPr>
          <w:hyperlink w:anchor="_Toc215931847" w:history="1">
            <w:r w:rsidRPr="00C0013B">
              <w:rPr>
                <w:rStyle w:val="Hyperlink"/>
                <w:noProof/>
              </w:rPr>
              <w:t>FED &amp; interRAI Roles</w:t>
            </w:r>
            <w:r>
              <w:rPr>
                <w:noProof/>
                <w:webHidden/>
              </w:rPr>
              <w:tab/>
            </w:r>
            <w:r>
              <w:rPr>
                <w:noProof/>
                <w:webHidden/>
              </w:rPr>
              <w:fldChar w:fldCharType="begin"/>
            </w:r>
            <w:r>
              <w:rPr>
                <w:noProof/>
                <w:webHidden/>
              </w:rPr>
              <w:instrText xml:space="preserve"> PAGEREF _Toc215931847 \h </w:instrText>
            </w:r>
            <w:r>
              <w:rPr>
                <w:noProof/>
                <w:webHidden/>
              </w:rPr>
            </w:r>
            <w:r>
              <w:rPr>
                <w:noProof/>
                <w:webHidden/>
              </w:rPr>
              <w:fldChar w:fldCharType="separate"/>
            </w:r>
            <w:r>
              <w:rPr>
                <w:noProof/>
                <w:webHidden/>
              </w:rPr>
              <w:t>6</w:t>
            </w:r>
            <w:r>
              <w:rPr>
                <w:noProof/>
                <w:webHidden/>
              </w:rPr>
              <w:fldChar w:fldCharType="end"/>
            </w:r>
          </w:hyperlink>
        </w:p>
        <w:p w14:paraId="26A2EA32" w14:textId="1BEB37EF" w:rsidR="00045209" w:rsidRDefault="00045209">
          <w:pPr>
            <w:pStyle w:val="TOC3"/>
            <w:tabs>
              <w:tab w:val="right" w:leader="dot" w:pos="9350"/>
            </w:tabs>
            <w:rPr>
              <w:rFonts w:asciiTheme="minorHAnsi" w:eastAsiaTheme="minorEastAsia" w:hAnsiTheme="minorHAnsi"/>
              <w:noProof/>
            </w:rPr>
          </w:pPr>
          <w:hyperlink w:anchor="_Toc215931848" w:history="1">
            <w:r w:rsidRPr="00C0013B">
              <w:rPr>
                <w:rStyle w:val="Hyperlink"/>
                <w:noProof/>
              </w:rPr>
              <w:t>How Does This Affect the Participant?</w:t>
            </w:r>
            <w:r>
              <w:rPr>
                <w:noProof/>
                <w:webHidden/>
              </w:rPr>
              <w:tab/>
            </w:r>
            <w:r>
              <w:rPr>
                <w:noProof/>
                <w:webHidden/>
              </w:rPr>
              <w:fldChar w:fldCharType="begin"/>
            </w:r>
            <w:r>
              <w:rPr>
                <w:noProof/>
                <w:webHidden/>
              </w:rPr>
              <w:instrText xml:space="preserve"> PAGEREF _Toc215931848 \h </w:instrText>
            </w:r>
            <w:r>
              <w:rPr>
                <w:noProof/>
                <w:webHidden/>
              </w:rPr>
            </w:r>
            <w:r>
              <w:rPr>
                <w:noProof/>
                <w:webHidden/>
              </w:rPr>
              <w:fldChar w:fldCharType="separate"/>
            </w:r>
            <w:r>
              <w:rPr>
                <w:noProof/>
                <w:webHidden/>
              </w:rPr>
              <w:t>6</w:t>
            </w:r>
            <w:r>
              <w:rPr>
                <w:noProof/>
                <w:webHidden/>
              </w:rPr>
              <w:fldChar w:fldCharType="end"/>
            </w:r>
          </w:hyperlink>
        </w:p>
        <w:p w14:paraId="52FF3D28" w14:textId="4D87E866" w:rsidR="00045209" w:rsidRDefault="00045209">
          <w:pPr>
            <w:pStyle w:val="TOC3"/>
            <w:tabs>
              <w:tab w:val="right" w:leader="dot" w:pos="9350"/>
            </w:tabs>
            <w:rPr>
              <w:rFonts w:asciiTheme="minorHAnsi" w:eastAsiaTheme="minorEastAsia" w:hAnsiTheme="minorHAnsi"/>
              <w:noProof/>
            </w:rPr>
          </w:pPr>
          <w:hyperlink w:anchor="_Toc215931849" w:history="1">
            <w:r w:rsidRPr="00C0013B">
              <w:rPr>
                <w:rStyle w:val="Hyperlink"/>
                <w:noProof/>
              </w:rPr>
              <w:t>NFCE Definition</w:t>
            </w:r>
            <w:r>
              <w:rPr>
                <w:noProof/>
                <w:webHidden/>
              </w:rPr>
              <w:tab/>
            </w:r>
            <w:r>
              <w:rPr>
                <w:noProof/>
                <w:webHidden/>
              </w:rPr>
              <w:fldChar w:fldCharType="begin"/>
            </w:r>
            <w:r>
              <w:rPr>
                <w:noProof/>
                <w:webHidden/>
              </w:rPr>
              <w:instrText xml:space="preserve"> PAGEREF _Toc215931849 \h </w:instrText>
            </w:r>
            <w:r>
              <w:rPr>
                <w:noProof/>
                <w:webHidden/>
              </w:rPr>
            </w:r>
            <w:r>
              <w:rPr>
                <w:noProof/>
                <w:webHidden/>
              </w:rPr>
              <w:fldChar w:fldCharType="separate"/>
            </w:r>
            <w:r>
              <w:rPr>
                <w:noProof/>
                <w:webHidden/>
              </w:rPr>
              <w:t>6</w:t>
            </w:r>
            <w:r>
              <w:rPr>
                <w:noProof/>
                <w:webHidden/>
              </w:rPr>
              <w:fldChar w:fldCharType="end"/>
            </w:r>
          </w:hyperlink>
        </w:p>
        <w:p w14:paraId="24D9FBD4" w14:textId="7261C2FA" w:rsidR="00045209" w:rsidRDefault="00045209">
          <w:pPr>
            <w:pStyle w:val="TOC3"/>
            <w:tabs>
              <w:tab w:val="right" w:leader="dot" w:pos="9350"/>
            </w:tabs>
            <w:rPr>
              <w:rFonts w:asciiTheme="minorHAnsi" w:eastAsiaTheme="minorEastAsia" w:hAnsiTheme="minorHAnsi"/>
              <w:noProof/>
            </w:rPr>
          </w:pPr>
          <w:hyperlink w:anchor="_Toc215931850" w:history="1">
            <w:r w:rsidRPr="00C0013B">
              <w:rPr>
                <w:rStyle w:val="Hyperlink"/>
                <w:noProof/>
              </w:rPr>
              <w:t>Initial Eligibility Process</w:t>
            </w:r>
            <w:r>
              <w:rPr>
                <w:noProof/>
                <w:webHidden/>
              </w:rPr>
              <w:tab/>
            </w:r>
            <w:r>
              <w:rPr>
                <w:noProof/>
                <w:webHidden/>
              </w:rPr>
              <w:fldChar w:fldCharType="begin"/>
            </w:r>
            <w:r>
              <w:rPr>
                <w:noProof/>
                <w:webHidden/>
              </w:rPr>
              <w:instrText xml:space="preserve"> PAGEREF _Toc215931850 \h </w:instrText>
            </w:r>
            <w:r>
              <w:rPr>
                <w:noProof/>
                <w:webHidden/>
              </w:rPr>
            </w:r>
            <w:r>
              <w:rPr>
                <w:noProof/>
                <w:webHidden/>
              </w:rPr>
              <w:fldChar w:fldCharType="separate"/>
            </w:r>
            <w:r>
              <w:rPr>
                <w:noProof/>
                <w:webHidden/>
              </w:rPr>
              <w:t>6</w:t>
            </w:r>
            <w:r>
              <w:rPr>
                <w:noProof/>
                <w:webHidden/>
              </w:rPr>
              <w:fldChar w:fldCharType="end"/>
            </w:r>
          </w:hyperlink>
        </w:p>
        <w:p w14:paraId="599EB4C1" w14:textId="32224F46" w:rsidR="00045209" w:rsidRDefault="00045209">
          <w:pPr>
            <w:pStyle w:val="TOC3"/>
            <w:tabs>
              <w:tab w:val="right" w:leader="dot" w:pos="9350"/>
            </w:tabs>
            <w:rPr>
              <w:rFonts w:asciiTheme="minorHAnsi" w:eastAsiaTheme="minorEastAsia" w:hAnsiTheme="minorHAnsi"/>
              <w:noProof/>
            </w:rPr>
          </w:pPr>
          <w:hyperlink w:anchor="_Toc215931851" w:history="1">
            <w:r w:rsidRPr="00C0013B">
              <w:rPr>
                <w:rStyle w:val="Hyperlink"/>
                <w:noProof/>
              </w:rPr>
              <w:t>Consistency</w:t>
            </w:r>
            <w:r>
              <w:rPr>
                <w:noProof/>
                <w:webHidden/>
              </w:rPr>
              <w:tab/>
            </w:r>
            <w:r>
              <w:rPr>
                <w:noProof/>
                <w:webHidden/>
              </w:rPr>
              <w:fldChar w:fldCharType="begin"/>
            </w:r>
            <w:r>
              <w:rPr>
                <w:noProof/>
                <w:webHidden/>
              </w:rPr>
              <w:instrText xml:space="preserve"> PAGEREF _Toc215931851 \h </w:instrText>
            </w:r>
            <w:r>
              <w:rPr>
                <w:noProof/>
                <w:webHidden/>
              </w:rPr>
            </w:r>
            <w:r>
              <w:rPr>
                <w:noProof/>
                <w:webHidden/>
              </w:rPr>
              <w:fldChar w:fldCharType="separate"/>
            </w:r>
            <w:r>
              <w:rPr>
                <w:noProof/>
                <w:webHidden/>
              </w:rPr>
              <w:t>7</w:t>
            </w:r>
            <w:r>
              <w:rPr>
                <w:noProof/>
                <w:webHidden/>
              </w:rPr>
              <w:fldChar w:fldCharType="end"/>
            </w:r>
          </w:hyperlink>
        </w:p>
        <w:p w14:paraId="3889278E" w14:textId="0A62FA64" w:rsidR="00045209" w:rsidRDefault="00045209">
          <w:pPr>
            <w:pStyle w:val="TOC3"/>
            <w:tabs>
              <w:tab w:val="right" w:leader="dot" w:pos="9350"/>
            </w:tabs>
            <w:rPr>
              <w:rFonts w:asciiTheme="minorHAnsi" w:eastAsiaTheme="minorEastAsia" w:hAnsiTheme="minorHAnsi"/>
              <w:noProof/>
            </w:rPr>
          </w:pPr>
          <w:hyperlink w:anchor="_Toc215931852" w:history="1">
            <w:r w:rsidRPr="00C0013B">
              <w:rPr>
                <w:rStyle w:val="Hyperlink"/>
                <w:noProof/>
              </w:rPr>
              <w:t>Reassessment Process</w:t>
            </w:r>
            <w:r>
              <w:rPr>
                <w:noProof/>
                <w:webHidden/>
              </w:rPr>
              <w:tab/>
            </w:r>
            <w:r>
              <w:rPr>
                <w:noProof/>
                <w:webHidden/>
              </w:rPr>
              <w:fldChar w:fldCharType="begin"/>
            </w:r>
            <w:r>
              <w:rPr>
                <w:noProof/>
                <w:webHidden/>
              </w:rPr>
              <w:instrText xml:space="preserve"> PAGEREF _Toc215931852 \h </w:instrText>
            </w:r>
            <w:r>
              <w:rPr>
                <w:noProof/>
                <w:webHidden/>
              </w:rPr>
            </w:r>
            <w:r>
              <w:rPr>
                <w:noProof/>
                <w:webHidden/>
              </w:rPr>
              <w:fldChar w:fldCharType="separate"/>
            </w:r>
            <w:r>
              <w:rPr>
                <w:noProof/>
                <w:webHidden/>
              </w:rPr>
              <w:t>7</w:t>
            </w:r>
            <w:r>
              <w:rPr>
                <w:noProof/>
                <w:webHidden/>
              </w:rPr>
              <w:fldChar w:fldCharType="end"/>
            </w:r>
          </w:hyperlink>
        </w:p>
        <w:p w14:paraId="00BF4B75" w14:textId="50686E6A" w:rsidR="00045209" w:rsidRDefault="00045209">
          <w:pPr>
            <w:pStyle w:val="TOC2"/>
            <w:tabs>
              <w:tab w:val="right" w:leader="dot" w:pos="9350"/>
            </w:tabs>
            <w:rPr>
              <w:rFonts w:asciiTheme="minorHAnsi" w:eastAsiaTheme="minorEastAsia" w:hAnsiTheme="minorHAnsi"/>
              <w:noProof/>
            </w:rPr>
          </w:pPr>
          <w:hyperlink w:anchor="_Toc215931853" w:history="1">
            <w:r w:rsidRPr="00C0013B">
              <w:rPr>
                <w:rStyle w:val="Hyperlink"/>
                <w:noProof/>
              </w:rPr>
              <w:t>FED &amp; interRAI Comprehensive Needs Assessment Overview</w:t>
            </w:r>
            <w:r>
              <w:rPr>
                <w:noProof/>
                <w:webHidden/>
              </w:rPr>
              <w:tab/>
            </w:r>
            <w:r>
              <w:rPr>
                <w:noProof/>
                <w:webHidden/>
              </w:rPr>
              <w:fldChar w:fldCharType="begin"/>
            </w:r>
            <w:r>
              <w:rPr>
                <w:noProof/>
                <w:webHidden/>
              </w:rPr>
              <w:instrText xml:space="preserve"> PAGEREF _Toc215931853 \h </w:instrText>
            </w:r>
            <w:r>
              <w:rPr>
                <w:noProof/>
                <w:webHidden/>
              </w:rPr>
            </w:r>
            <w:r>
              <w:rPr>
                <w:noProof/>
                <w:webHidden/>
              </w:rPr>
              <w:fldChar w:fldCharType="separate"/>
            </w:r>
            <w:r>
              <w:rPr>
                <w:noProof/>
                <w:webHidden/>
              </w:rPr>
              <w:t>8</w:t>
            </w:r>
            <w:r>
              <w:rPr>
                <w:noProof/>
                <w:webHidden/>
              </w:rPr>
              <w:fldChar w:fldCharType="end"/>
            </w:r>
          </w:hyperlink>
        </w:p>
        <w:p w14:paraId="45BE64F3" w14:textId="04288335" w:rsidR="00045209" w:rsidRDefault="00045209">
          <w:pPr>
            <w:pStyle w:val="TOC3"/>
            <w:tabs>
              <w:tab w:val="right" w:leader="dot" w:pos="9350"/>
            </w:tabs>
            <w:rPr>
              <w:rFonts w:asciiTheme="minorHAnsi" w:eastAsiaTheme="minorEastAsia" w:hAnsiTheme="minorHAnsi"/>
              <w:noProof/>
            </w:rPr>
          </w:pPr>
          <w:hyperlink w:anchor="_Toc215931854" w:history="1">
            <w:r w:rsidRPr="00C0013B">
              <w:rPr>
                <w:rStyle w:val="Hyperlink"/>
                <w:noProof/>
              </w:rPr>
              <w:t>FED &amp; interRAI Overview</w:t>
            </w:r>
            <w:r>
              <w:rPr>
                <w:noProof/>
                <w:webHidden/>
              </w:rPr>
              <w:tab/>
            </w:r>
            <w:r>
              <w:rPr>
                <w:noProof/>
                <w:webHidden/>
              </w:rPr>
              <w:fldChar w:fldCharType="begin"/>
            </w:r>
            <w:r>
              <w:rPr>
                <w:noProof/>
                <w:webHidden/>
              </w:rPr>
              <w:instrText xml:space="preserve"> PAGEREF _Toc215931854 \h </w:instrText>
            </w:r>
            <w:r>
              <w:rPr>
                <w:noProof/>
                <w:webHidden/>
              </w:rPr>
            </w:r>
            <w:r>
              <w:rPr>
                <w:noProof/>
                <w:webHidden/>
              </w:rPr>
              <w:fldChar w:fldCharType="separate"/>
            </w:r>
            <w:r>
              <w:rPr>
                <w:noProof/>
                <w:webHidden/>
              </w:rPr>
              <w:t>8</w:t>
            </w:r>
            <w:r>
              <w:rPr>
                <w:noProof/>
                <w:webHidden/>
              </w:rPr>
              <w:fldChar w:fldCharType="end"/>
            </w:r>
          </w:hyperlink>
        </w:p>
        <w:p w14:paraId="3433A6E1" w14:textId="6D1B945E" w:rsidR="00045209" w:rsidRDefault="00045209">
          <w:pPr>
            <w:pStyle w:val="TOC2"/>
            <w:tabs>
              <w:tab w:val="right" w:leader="dot" w:pos="9350"/>
            </w:tabs>
            <w:rPr>
              <w:rFonts w:asciiTheme="minorHAnsi" w:eastAsiaTheme="minorEastAsia" w:hAnsiTheme="minorHAnsi"/>
              <w:noProof/>
            </w:rPr>
          </w:pPr>
          <w:hyperlink w:anchor="_Toc215931855" w:history="1">
            <w:r w:rsidRPr="00C0013B">
              <w:rPr>
                <w:rStyle w:val="Hyperlink"/>
                <w:noProof/>
              </w:rPr>
              <w:t>FED/interRAI Instrument</w:t>
            </w:r>
            <w:r>
              <w:rPr>
                <w:noProof/>
                <w:webHidden/>
              </w:rPr>
              <w:tab/>
            </w:r>
            <w:r>
              <w:rPr>
                <w:noProof/>
                <w:webHidden/>
              </w:rPr>
              <w:fldChar w:fldCharType="begin"/>
            </w:r>
            <w:r>
              <w:rPr>
                <w:noProof/>
                <w:webHidden/>
              </w:rPr>
              <w:instrText xml:space="preserve"> PAGEREF _Toc215931855 \h </w:instrText>
            </w:r>
            <w:r>
              <w:rPr>
                <w:noProof/>
                <w:webHidden/>
              </w:rPr>
            </w:r>
            <w:r>
              <w:rPr>
                <w:noProof/>
                <w:webHidden/>
              </w:rPr>
              <w:fldChar w:fldCharType="separate"/>
            </w:r>
            <w:r>
              <w:rPr>
                <w:noProof/>
                <w:webHidden/>
              </w:rPr>
              <w:t>8</w:t>
            </w:r>
            <w:r>
              <w:rPr>
                <w:noProof/>
                <w:webHidden/>
              </w:rPr>
              <w:fldChar w:fldCharType="end"/>
            </w:r>
          </w:hyperlink>
        </w:p>
        <w:p w14:paraId="3C95DA8F" w14:textId="6B37AAFD" w:rsidR="00045209" w:rsidRDefault="00045209">
          <w:pPr>
            <w:pStyle w:val="TOC3"/>
            <w:tabs>
              <w:tab w:val="right" w:leader="dot" w:pos="9350"/>
            </w:tabs>
            <w:rPr>
              <w:rFonts w:asciiTheme="minorHAnsi" w:eastAsiaTheme="minorEastAsia" w:hAnsiTheme="minorHAnsi"/>
              <w:noProof/>
            </w:rPr>
          </w:pPr>
          <w:hyperlink w:anchor="_Toc215931856" w:history="1">
            <w:r w:rsidRPr="00C0013B">
              <w:rPr>
                <w:rStyle w:val="Hyperlink"/>
                <w:noProof/>
              </w:rPr>
              <w:t>FED and interRAI Assessments</w:t>
            </w:r>
            <w:r>
              <w:rPr>
                <w:noProof/>
                <w:webHidden/>
              </w:rPr>
              <w:tab/>
            </w:r>
            <w:r>
              <w:rPr>
                <w:noProof/>
                <w:webHidden/>
              </w:rPr>
              <w:fldChar w:fldCharType="begin"/>
            </w:r>
            <w:r>
              <w:rPr>
                <w:noProof/>
                <w:webHidden/>
              </w:rPr>
              <w:instrText xml:space="preserve"> PAGEREF _Toc215931856 \h </w:instrText>
            </w:r>
            <w:r>
              <w:rPr>
                <w:noProof/>
                <w:webHidden/>
              </w:rPr>
            </w:r>
            <w:r>
              <w:rPr>
                <w:noProof/>
                <w:webHidden/>
              </w:rPr>
              <w:fldChar w:fldCharType="separate"/>
            </w:r>
            <w:r>
              <w:rPr>
                <w:noProof/>
                <w:webHidden/>
              </w:rPr>
              <w:t>8</w:t>
            </w:r>
            <w:r>
              <w:rPr>
                <w:noProof/>
                <w:webHidden/>
              </w:rPr>
              <w:fldChar w:fldCharType="end"/>
            </w:r>
          </w:hyperlink>
        </w:p>
        <w:p w14:paraId="5BEE6B1A" w14:textId="28D042DE" w:rsidR="00045209" w:rsidRDefault="00045209">
          <w:pPr>
            <w:pStyle w:val="TOC3"/>
            <w:tabs>
              <w:tab w:val="right" w:leader="dot" w:pos="9350"/>
            </w:tabs>
            <w:rPr>
              <w:rFonts w:asciiTheme="minorHAnsi" w:eastAsiaTheme="minorEastAsia" w:hAnsiTheme="minorHAnsi"/>
              <w:noProof/>
            </w:rPr>
          </w:pPr>
          <w:hyperlink w:anchor="_Toc215931857" w:history="1">
            <w:r w:rsidRPr="00C0013B">
              <w:rPr>
                <w:rStyle w:val="Hyperlink"/>
                <w:noProof/>
              </w:rPr>
              <w:t>FED and interRAI Additional Elements</w:t>
            </w:r>
            <w:r>
              <w:rPr>
                <w:noProof/>
                <w:webHidden/>
              </w:rPr>
              <w:tab/>
            </w:r>
            <w:r>
              <w:rPr>
                <w:noProof/>
                <w:webHidden/>
              </w:rPr>
              <w:fldChar w:fldCharType="begin"/>
            </w:r>
            <w:r>
              <w:rPr>
                <w:noProof/>
                <w:webHidden/>
              </w:rPr>
              <w:instrText xml:space="preserve"> PAGEREF _Toc215931857 \h </w:instrText>
            </w:r>
            <w:r>
              <w:rPr>
                <w:noProof/>
                <w:webHidden/>
              </w:rPr>
            </w:r>
            <w:r>
              <w:rPr>
                <w:noProof/>
                <w:webHidden/>
              </w:rPr>
              <w:fldChar w:fldCharType="separate"/>
            </w:r>
            <w:r>
              <w:rPr>
                <w:noProof/>
                <w:webHidden/>
              </w:rPr>
              <w:t>9</w:t>
            </w:r>
            <w:r>
              <w:rPr>
                <w:noProof/>
                <w:webHidden/>
              </w:rPr>
              <w:fldChar w:fldCharType="end"/>
            </w:r>
          </w:hyperlink>
        </w:p>
        <w:p w14:paraId="648FA567" w14:textId="5A6A896C" w:rsidR="00045209" w:rsidRDefault="00045209">
          <w:pPr>
            <w:pStyle w:val="TOC2"/>
            <w:tabs>
              <w:tab w:val="right" w:leader="dot" w:pos="9350"/>
            </w:tabs>
            <w:rPr>
              <w:rFonts w:asciiTheme="minorHAnsi" w:eastAsiaTheme="minorEastAsia" w:hAnsiTheme="minorHAnsi"/>
              <w:noProof/>
            </w:rPr>
          </w:pPr>
          <w:hyperlink w:anchor="_Toc215931858" w:history="1">
            <w:r w:rsidRPr="00C0013B">
              <w:rPr>
                <w:rStyle w:val="Hyperlink"/>
                <w:noProof/>
              </w:rPr>
              <w:t>Functional Eligibility Determination (FED)</w:t>
            </w:r>
            <w:r>
              <w:rPr>
                <w:noProof/>
                <w:webHidden/>
              </w:rPr>
              <w:tab/>
            </w:r>
            <w:r>
              <w:rPr>
                <w:noProof/>
                <w:webHidden/>
              </w:rPr>
              <w:fldChar w:fldCharType="begin"/>
            </w:r>
            <w:r>
              <w:rPr>
                <w:noProof/>
                <w:webHidden/>
              </w:rPr>
              <w:instrText xml:space="preserve"> PAGEREF _Toc215931858 \h </w:instrText>
            </w:r>
            <w:r>
              <w:rPr>
                <w:noProof/>
                <w:webHidden/>
              </w:rPr>
            </w:r>
            <w:r>
              <w:rPr>
                <w:noProof/>
                <w:webHidden/>
              </w:rPr>
              <w:fldChar w:fldCharType="separate"/>
            </w:r>
            <w:r>
              <w:rPr>
                <w:noProof/>
                <w:webHidden/>
              </w:rPr>
              <w:t>9</w:t>
            </w:r>
            <w:r>
              <w:rPr>
                <w:noProof/>
                <w:webHidden/>
              </w:rPr>
              <w:fldChar w:fldCharType="end"/>
            </w:r>
          </w:hyperlink>
        </w:p>
        <w:p w14:paraId="75C93BE7" w14:textId="20BC5511" w:rsidR="00045209" w:rsidRDefault="00045209">
          <w:pPr>
            <w:pStyle w:val="TOC3"/>
            <w:tabs>
              <w:tab w:val="right" w:leader="dot" w:pos="9350"/>
            </w:tabs>
            <w:rPr>
              <w:rFonts w:asciiTheme="minorHAnsi" w:eastAsiaTheme="minorEastAsia" w:hAnsiTheme="minorHAnsi"/>
              <w:noProof/>
            </w:rPr>
          </w:pPr>
          <w:hyperlink w:anchor="_Toc215931859" w:history="1">
            <w:r w:rsidRPr="00C0013B">
              <w:rPr>
                <w:rStyle w:val="Hyperlink"/>
                <w:noProof/>
              </w:rPr>
              <w:t>Coding Comments</w:t>
            </w:r>
            <w:r>
              <w:rPr>
                <w:noProof/>
                <w:webHidden/>
              </w:rPr>
              <w:tab/>
            </w:r>
            <w:r>
              <w:rPr>
                <w:noProof/>
                <w:webHidden/>
              </w:rPr>
              <w:fldChar w:fldCharType="begin"/>
            </w:r>
            <w:r>
              <w:rPr>
                <w:noProof/>
                <w:webHidden/>
              </w:rPr>
              <w:instrText xml:space="preserve"> PAGEREF _Toc215931859 \h </w:instrText>
            </w:r>
            <w:r>
              <w:rPr>
                <w:noProof/>
                <w:webHidden/>
              </w:rPr>
            </w:r>
            <w:r>
              <w:rPr>
                <w:noProof/>
                <w:webHidden/>
              </w:rPr>
              <w:fldChar w:fldCharType="separate"/>
            </w:r>
            <w:r>
              <w:rPr>
                <w:noProof/>
                <w:webHidden/>
              </w:rPr>
              <w:t>9</w:t>
            </w:r>
            <w:r>
              <w:rPr>
                <w:noProof/>
                <w:webHidden/>
              </w:rPr>
              <w:fldChar w:fldCharType="end"/>
            </w:r>
          </w:hyperlink>
        </w:p>
        <w:p w14:paraId="440C04CE" w14:textId="5F1EFC04" w:rsidR="00045209" w:rsidRDefault="00045209">
          <w:pPr>
            <w:pStyle w:val="TOC2"/>
            <w:tabs>
              <w:tab w:val="right" w:leader="dot" w:pos="9350"/>
            </w:tabs>
            <w:rPr>
              <w:rFonts w:asciiTheme="minorHAnsi" w:eastAsiaTheme="minorEastAsia" w:hAnsiTheme="minorHAnsi"/>
              <w:noProof/>
            </w:rPr>
          </w:pPr>
          <w:hyperlink w:anchor="_Toc215931860" w:history="1">
            <w:r w:rsidRPr="00C0013B">
              <w:rPr>
                <w:rStyle w:val="Hyperlink"/>
                <w:noProof/>
              </w:rPr>
              <w:t>FED – Section A</w:t>
            </w:r>
            <w:r>
              <w:rPr>
                <w:noProof/>
                <w:webHidden/>
              </w:rPr>
              <w:tab/>
            </w:r>
            <w:r>
              <w:rPr>
                <w:noProof/>
                <w:webHidden/>
              </w:rPr>
              <w:fldChar w:fldCharType="begin"/>
            </w:r>
            <w:r>
              <w:rPr>
                <w:noProof/>
                <w:webHidden/>
              </w:rPr>
              <w:instrText xml:space="preserve"> PAGEREF _Toc215931860 \h </w:instrText>
            </w:r>
            <w:r>
              <w:rPr>
                <w:noProof/>
                <w:webHidden/>
              </w:rPr>
            </w:r>
            <w:r>
              <w:rPr>
                <w:noProof/>
                <w:webHidden/>
              </w:rPr>
              <w:fldChar w:fldCharType="separate"/>
            </w:r>
            <w:r>
              <w:rPr>
                <w:noProof/>
                <w:webHidden/>
              </w:rPr>
              <w:t>10</w:t>
            </w:r>
            <w:r>
              <w:rPr>
                <w:noProof/>
                <w:webHidden/>
              </w:rPr>
              <w:fldChar w:fldCharType="end"/>
            </w:r>
          </w:hyperlink>
        </w:p>
        <w:p w14:paraId="1C211E4B" w14:textId="0418D324" w:rsidR="00045209" w:rsidRDefault="00045209">
          <w:pPr>
            <w:pStyle w:val="TOC3"/>
            <w:tabs>
              <w:tab w:val="right" w:leader="dot" w:pos="9350"/>
            </w:tabs>
            <w:rPr>
              <w:rFonts w:asciiTheme="minorHAnsi" w:eastAsiaTheme="minorEastAsia" w:hAnsiTheme="minorHAnsi"/>
              <w:noProof/>
            </w:rPr>
          </w:pPr>
          <w:hyperlink w:anchor="_Toc215931861" w:history="1">
            <w:r w:rsidRPr="00C0013B">
              <w:rPr>
                <w:rStyle w:val="Hyperlink"/>
                <w:noProof/>
              </w:rPr>
              <w:t>FED – Section A – Identification</w:t>
            </w:r>
            <w:r>
              <w:rPr>
                <w:noProof/>
                <w:webHidden/>
              </w:rPr>
              <w:tab/>
            </w:r>
            <w:r>
              <w:rPr>
                <w:noProof/>
                <w:webHidden/>
              </w:rPr>
              <w:fldChar w:fldCharType="begin"/>
            </w:r>
            <w:r>
              <w:rPr>
                <w:noProof/>
                <w:webHidden/>
              </w:rPr>
              <w:instrText xml:space="preserve"> PAGEREF _Toc215931861 \h </w:instrText>
            </w:r>
            <w:r>
              <w:rPr>
                <w:noProof/>
                <w:webHidden/>
              </w:rPr>
            </w:r>
            <w:r>
              <w:rPr>
                <w:noProof/>
                <w:webHidden/>
              </w:rPr>
              <w:fldChar w:fldCharType="separate"/>
            </w:r>
            <w:r>
              <w:rPr>
                <w:noProof/>
                <w:webHidden/>
              </w:rPr>
              <w:t>10</w:t>
            </w:r>
            <w:r>
              <w:rPr>
                <w:noProof/>
                <w:webHidden/>
              </w:rPr>
              <w:fldChar w:fldCharType="end"/>
            </w:r>
          </w:hyperlink>
        </w:p>
        <w:p w14:paraId="3D93D35A" w14:textId="1AF66053" w:rsidR="00045209" w:rsidRDefault="00045209">
          <w:pPr>
            <w:pStyle w:val="TOC3"/>
            <w:tabs>
              <w:tab w:val="right" w:leader="dot" w:pos="9350"/>
            </w:tabs>
            <w:rPr>
              <w:rFonts w:asciiTheme="minorHAnsi" w:eastAsiaTheme="minorEastAsia" w:hAnsiTheme="minorHAnsi"/>
              <w:noProof/>
            </w:rPr>
          </w:pPr>
          <w:hyperlink w:anchor="_Toc215931862" w:history="1">
            <w:r w:rsidRPr="00C0013B">
              <w:rPr>
                <w:rStyle w:val="Hyperlink"/>
                <w:noProof/>
              </w:rPr>
              <w:t>FED – Section A – Reference Date</w:t>
            </w:r>
            <w:r>
              <w:rPr>
                <w:noProof/>
                <w:webHidden/>
              </w:rPr>
              <w:tab/>
            </w:r>
            <w:r>
              <w:rPr>
                <w:noProof/>
                <w:webHidden/>
              </w:rPr>
              <w:fldChar w:fldCharType="begin"/>
            </w:r>
            <w:r>
              <w:rPr>
                <w:noProof/>
                <w:webHidden/>
              </w:rPr>
              <w:instrText xml:space="preserve"> PAGEREF _Toc215931862 \h </w:instrText>
            </w:r>
            <w:r>
              <w:rPr>
                <w:noProof/>
                <w:webHidden/>
              </w:rPr>
            </w:r>
            <w:r>
              <w:rPr>
                <w:noProof/>
                <w:webHidden/>
              </w:rPr>
              <w:fldChar w:fldCharType="separate"/>
            </w:r>
            <w:r>
              <w:rPr>
                <w:noProof/>
                <w:webHidden/>
              </w:rPr>
              <w:t>10</w:t>
            </w:r>
            <w:r>
              <w:rPr>
                <w:noProof/>
                <w:webHidden/>
              </w:rPr>
              <w:fldChar w:fldCharType="end"/>
            </w:r>
          </w:hyperlink>
        </w:p>
        <w:p w14:paraId="6B1FEEB2" w14:textId="634D952B" w:rsidR="00045209" w:rsidRDefault="00045209">
          <w:pPr>
            <w:pStyle w:val="TOC3"/>
            <w:tabs>
              <w:tab w:val="right" w:leader="dot" w:pos="9350"/>
            </w:tabs>
            <w:rPr>
              <w:rFonts w:asciiTheme="minorHAnsi" w:eastAsiaTheme="minorEastAsia" w:hAnsiTheme="minorHAnsi"/>
              <w:noProof/>
            </w:rPr>
          </w:pPr>
          <w:hyperlink w:anchor="_Toc215931863" w:history="1">
            <w:r w:rsidRPr="00C0013B">
              <w:rPr>
                <w:rStyle w:val="Hyperlink"/>
                <w:noProof/>
              </w:rPr>
              <w:t>FED – Section A – Living Arrangement</w:t>
            </w:r>
            <w:r>
              <w:rPr>
                <w:noProof/>
                <w:webHidden/>
              </w:rPr>
              <w:tab/>
            </w:r>
            <w:r>
              <w:rPr>
                <w:noProof/>
                <w:webHidden/>
              </w:rPr>
              <w:fldChar w:fldCharType="begin"/>
            </w:r>
            <w:r>
              <w:rPr>
                <w:noProof/>
                <w:webHidden/>
              </w:rPr>
              <w:instrText xml:space="preserve"> PAGEREF _Toc215931863 \h </w:instrText>
            </w:r>
            <w:r>
              <w:rPr>
                <w:noProof/>
                <w:webHidden/>
              </w:rPr>
            </w:r>
            <w:r>
              <w:rPr>
                <w:noProof/>
                <w:webHidden/>
              </w:rPr>
              <w:fldChar w:fldCharType="separate"/>
            </w:r>
            <w:r>
              <w:rPr>
                <w:noProof/>
                <w:webHidden/>
              </w:rPr>
              <w:t>11</w:t>
            </w:r>
            <w:r>
              <w:rPr>
                <w:noProof/>
                <w:webHidden/>
              </w:rPr>
              <w:fldChar w:fldCharType="end"/>
            </w:r>
          </w:hyperlink>
        </w:p>
        <w:p w14:paraId="43151C0C" w14:textId="3CCE0742" w:rsidR="00045209" w:rsidRDefault="00045209">
          <w:pPr>
            <w:pStyle w:val="TOC2"/>
            <w:tabs>
              <w:tab w:val="right" w:leader="dot" w:pos="9350"/>
            </w:tabs>
            <w:rPr>
              <w:rFonts w:asciiTheme="minorHAnsi" w:eastAsiaTheme="minorEastAsia" w:hAnsiTheme="minorHAnsi"/>
              <w:noProof/>
            </w:rPr>
          </w:pPr>
          <w:hyperlink w:anchor="_Toc215931864" w:history="1">
            <w:r w:rsidRPr="00C0013B">
              <w:rPr>
                <w:rStyle w:val="Hyperlink"/>
                <w:noProof/>
              </w:rPr>
              <w:t>Section B</w:t>
            </w:r>
            <w:r>
              <w:rPr>
                <w:noProof/>
                <w:webHidden/>
              </w:rPr>
              <w:tab/>
            </w:r>
            <w:r>
              <w:rPr>
                <w:noProof/>
                <w:webHidden/>
              </w:rPr>
              <w:fldChar w:fldCharType="begin"/>
            </w:r>
            <w:r>
              <w:rPr>
                <w:noProof/>
                <w:webHidden/>
              </w:rPr>
              <w:instrText xml:space="preserve"> PAGEREF _Toc215931864 \h </w:instrText>
            </w:r>
            <w:r>
              <w:rPr>
                <w:noProof/>
                <w:webHidden/>
              </w:rPr>
            </w:r>
            <w:r>
              <w:rPr>
                <w:noProof/>
                <w:webHidden/>
              </w:rPr>
              <w:fldChar w:fldCharType="separate"/>
            </w:r>
            <w:r>
              <w:rPr>
                <w:noProof/>
                <w:webHidden/>
              </w:rPr>
              <w:t>11</w:t>
            </w:r>
            <w:r>
              <w:rPr>
                <w:noProof/>
                <w:webHidden/>
              </w:rPr>
              <w:fldChar w:fldCharType="end"/>
            </w:r>
          </w:hyperlink>
        </w:p>
        <w:p w14:paraId="1BE1DC17" w14:textId="62DE9D71" w:rsidR="00045209" w:rsidRDefault="00045209">
          <w:pPr>
            <w:pStyle w:val="TOC3"/>
            <w:tabs>
              <w:tab w:val="right" w:leader="dot" w:pos="9350"/>
            </w:tabs>
            <w:rPr>
              <w:rFonts w:asciiTheme="minorHAnsi" w:eastAsiaTheme="minorEastAsia" w:hAnsiTheme="minorHAnsi"/>
              <w:noProof/>
            </w:rPr>
          </w:pPr>
          <w:hyperlink w:anchor="_Toc215931865" w:history="1">
            <w:r w:rsidRPr="00C0013B">
              <w:rPr>
                <w:rStyle w:val="Hyperlink"/>
                <w:noProof/>
              </w:rPr>
              <w:t>FED – Section B.1 – Cognition</w:t>
            </w:r>
            <w:r>
              <w:rPr>
                <w:noProof/>
                <w:webHidden/>
              </w:rPr>
              <w:tab/>
            </w:r>
            <w:r>
              <w:rPr>
                <w:noProof/>
                <w:webHidden/>
              </w:rPr>
              <w:fldChar w:fldCharType="begin"/>
            </w:r>
            <w:r>
              <w:rPr>
                <w:noProof/>
                <w:webHidden/>
              </w:rPr>
              <w:instrText xml:space="preserve"> PAGEREF _Toc215931865 \h </w:instrText>
            </w:r>
            <w:r>
              <w:rPr>
                <w:noProof/>
                <w:webHidden/>
              </w:rPr>
            </w:r>
            <w:r>
              <w:rPr>
                <w:noProof/>
                <w:webHidden/>
              </w:rPr>
              <w:fldChar w:fldCharType="separate"/>
            </w:r>
            <w:r>
              <w:rPr>
                <w:noProof/>
                <w:webHidden/>
              </w:rPr>
              <w:t>12</w:t>
            </w:r>
            <w:r>
              <w:rPr>
                <w:noProof/>
                <w:webHidden/>
              </w:rPr>
              <w:fldChar w:fldCharType="end"/>
            </w:r>
          </w:hyperlink>
        </w:p>
        <w:p w14:paraId="42C52F21" w14:textId="030EB3B4" w:rsidR="00045209" w:rsidRDefault="00045209">
          <w:pPr>
            <w:pStyle w:val="TOC3"/>
            <w:tabs>
              <w:tab w:val="right" w:leader="dot" w:pos="9350"/>
            </w:tabs>
            <w:rPr>
              <w:rFonts w:asciiTheme="minorHAnsi" w:eastAsiaTheme="minorEastAsia" w:hAnsiTheme="minorHAnsi"/>
              <w:noProof/>
            </w:rPr>
          </w:pPr>
          <w:hyperlink w:anchor="_Toc215931866" w:history="1">
            <w:r w:rsidRPr="00C0013B">
              <w:rPr>
                <w:rStyle w:val="Hyperlink"/>
                <w:noProof/>
              </w:rPr>
              <w:t>FED – Section B.1 – Decision-Making Coding</w:t>
            </w:r>
            <w:r>
              <w:rPr>
                <w:noProof/>
                <w:webHidden/>
              </w:rPr>
              <w:tab/>
            </w:r>
            <w:r>
              <w:rPr>
                <w:noProof/>
                <w:webHidden/>
              </w:rPr>
              <w:fldChar w:fldCharType="begin"/>
            </w:r>
            <w:r>
              <w:rPr>
                <w:noProof/>
                <w:webHidden/>
              </w:rPr>
              <w:instrText xml:space="preserve"> PAGEREF _Toc215931866 \h </w:instrText>
            </w:r>
            <w:r>
              <w:rPr>
                <w:noProof/>
                <w:webHidden/>
              </w:rPr>
            </w:r>
            <w:r>
              <w:rPr>
                <w:noProof/>
                <w:webHidden/>
              </w:rPr>
              <w:fldChar w:fldCharType="separate"/>
            </w:r>
            <w:r>
              <w:rPr>
                <w:noProof/>
                <w:webHidden/>
              </w:rPr>
              <w:t>12</w:t>
            </w:r>
            <w:r>
              <w:rPr>
                <w:noProof/>
                <w:webHidden/>
              </w:rPr>
              <w:fldChar w:fldCharType="end"/>
            </w:r>
          </w:hyperlink>
        </w:p>
        <w:p w14:paraId="21ADD77D" w14:textId="2B8BC968" w:rsidR="00045209" w:rsidRDefault="00045209">
          <w:pPr>
            <w:pStyle w:val="TOC3"/>
            <w:tabs>
              <w:tab w:val="right" w:leader="dot" w:pos="9350"/>
            </w:tabs>
            <w:rPr>
              <w:rFonts w:asciiTheme="minorHAnsi" w:eastAsiaTheme="minorEastAsia" w:hAnsiTheme="minorHAnsi"/>
              <w:noProof/>
            </w:rPr>
          </w:pPr>
          <w:hyperlink w:anchor="_Toc215931867" w:history="1">
            <w:r w:rsidRPr="00C0013B">
              <w:rPr>
                <w:rStyle w:val="Hyperlink"/>
                <w:noProof/>
              </w:rPr>
              <w:t>FED – Section B.2 – Memory and Recall</w:t>
            </w:r>
            <w:r>
              <w:rPr>
                <w:noProof/>
                <w:webHidden/>
              </w:rPr>
              <w:tab/>
            </w:r>
            <w:r>
              <w:rPr>
                <w:noProof/>
                <w:webHidden/>
              </w:rPr>
              <w:fldChar w:fldCharType="begin"/>
            </w:r>
            <w:r>
              <w:rPr>
                <w:noProof/>
                <w:webHidden/>
              </w:rPr>
              <w:instrText xml:space="preserve"> PAGEREF _Toc215931867 \h </w:instrText>
            </w:r>
            <w:r>
              <w:rPr>
                <w:noProof/>
                <w:webHidden/>
              </w:rPr>
            </w:r>
            <w:r>
              <w:rPr>
                <w:noProof/>
                <w:webHidden/>
              </w:rPr>
              <w:fldChar w:fldCharType="separate"/>
            </w:r>
            <w:r>
              <w:rPr>
                <w:noProof/>
                <w:webHidden/>
              </w:rPr>
              <w:t>13</w:t>
            </w:r>
            <w:r>
              <w:rPr>
                <w:noProof/>
                <w:webHidden/>
              </w:rPr>
              <w:fldChar w:fldCharType="end"/>
            </w:r>
          </w:hyperlink>
        </w:p>
        <w:p w14:paraId="2530895D" w14:textId="085AE676" w:rsidR="00045209" w:rsidRDefault="00045209">
          <w:pPr>
            <w:pStyle w:val="TOC3"/>
            <w:tabs>
              <w:tab w:val="right" w:leader="dot" w:pos="9350"/>
            </w:tabs>
            <w:rPr>
              <w:rFonts w:asciiTheme="minorHAnsi" w:eastAsiaTheme="minorEastAsia" w:hAnsiTheme="minorHAnsi"/>
              <w:noProof/>
            </w:rPr>
          </w:pPr>
          <w:hyperlink w:anchor="_Toc215931868" w:history="1">
            <w:r w:rsidRPr="00C0013B">
              <w:rPr>
                <w:rStyle w:val="Hyperlink"/>
                <w:noProof/>
              </w:rPr>
              <w:t>FED – Section B – Cognition</w:t>
            </w:r>
            <w:r>
              <w:rPr>
                <w:noProof/>
                <w:webHidden/>
              </w:rPr>
              <w:tab/>
            </w:r>
            <w:r>
              <w:rPr>
                <w:noProof/>
                <w:webHidden/>
              </w:rPr>
              <w:fldChar w:fldCharType="begin"/>
            </w:r>
            <w:r>
              <w:rPr>
                <w:noProof/>
                <w:webHidden/>
              </w:rPr>
              <w:instrText xml:space="preserve"> PAGEREF _Toc215931868 \h </w:instrText>
            </w:r>
            <w:r>
              <w:rPr>
                <w:noProof/>
                <w:webHidden/>
              </w:rPr>
            </w:r>
            <w:r>
              <w:rPr>
                <w:noProof/>
                <w:webHidden/>
              </w:rPr>
              <w:fldChar w:fldCharType="separate"/>
            </w:r>
            <w:r>
              <w:rPr>
                <w:noProof/>
                <w:webHidden/>
              </w:rPr>
              <w:t>14</w:t>
            </w:r>
            <w:r>
              <w:rPr>
                <w:noProof/>
                <w:webHidden/>
              </w:rPr>
              <w:fldChar w:fldCharType="end"/>
            </w:r>
          </w:hyperlink>
        </w:p>
        <w:p w14:paraId="52127C0B" w14:textId="3FD5EF5F" w:rsidR="00045209" w:rsidRDefault="00045209">
          <w:pPr>
            <w:pStyle w:val="TOC3"/>
            <w:tabs>
              <w:tab w:val="right" w:leader="dot" w:pos="9350"/>
            </w:tabs>
            <w:rPr>
              <w:rFonts w:asciiTheme="minorHAnsi" w:eastAsiaTheme="minorEastAsia" w:hAnsiTheme="minorHAnsi"/>
              <w:noProof/>
            </w:rPr>
          </w:pPr>
          <w:hyperlink w:anchor="_Toc215931869" w:history="1">
            <w:r w:rsidRPr="00C0013B">
              <w:rPr>
                <w:rStyle w:val="Hyperlink"/>
                <w:noProof/>
              </w:rPr>
              <w:t>FED – Section B.3 – Periodic Disordered Thinking</w:t>
            </w:r>
            <w:r>
              <w:rPr>
                <w:noProof/>
                <w:webHidden/>
              </w:rPr>
              <w:tab/>
            </w:r>
            <w:r>
              <w:rPr>
                <w:noProof/>
                <w:webHidden/>
              </w:rPr>
              <w:fldChar w:fldCharType="begin"/>
            </w:r>
            <w:r>
              <w:rPr>
                <w:noProof/>
                <w:webHidden/>
              </w:rPr>
              <w:instrText xml:space="preserve"> PAGEREF _Toc215931869 \h </w:instrText>
            </w:r>
            <w:r>
              <w:rPr>
                <w:noProof/>
                <w:webHidden/>
              </w:rPr>
            </w:r>
            <w:r>
              <w:rPr>
                <w:noProof/>
                <w:webHidden/>
              </w:rPr>
              <w:fldChar w:fldCharType="separate"/>
            </w:r>
            <w:r>
              <w:rPr>
                <w:noProof/>
                <w:webHidden/>
              </w:rPr>
              <w:t>14</w:t>
            </w:r>
            <w:r>
              <w:rPr>
                <w:noProof/>
                <w:webHidden/>
              </w:rPr>
              <w:fldChar w:fldCharType="end"/>
            </w:r>
          </w:hyperlink>
        </w:p>
        <w:p w14:paraId="2A2D81DF" w14:textId="57E0B30D" w:rsidR="00045209" w:rsidRDefault="00045209">
          <w:pPr>
            <w:pStyle w:val="TOC3"/>
            <w:tabs>
              <w:tab w:val="right" w:leader="dot" w:pos="9350"/>
            </w:tabs>
            <w:rPr>
              <w:rFonts w:asciiTheme="minorHAnsi" w:eastAsiaTheme="minorEastAsia" w:hAnsiTheme="minorHAnsi"/>
              <w:noProof/>
            </w:rPr>
          </w:pPr>
          <w:hyperlink w:anchor="_Toc215931870" w:history="1">
            <w:r w:rsidRPr="00C0013B">
              <w:rPr>
                <w:rStyle w:val="Hyperlink"/>
                <w:noProof/>
              </w:rPr>
              <w:t>FED – Section B.4 – Acute Changes</w:t>
            </w:r>
            <w:r>
              <w:rPr>
                <w:noProof/>
                <w:webHidden/>
              </w:rPr>
              <w:tab/>
            </w:r>
            <w:r>
              <w:rPr>
                <w:noProof/>
                <w:webHidden/>
              </w:rPr>
              <w:fldChar w:fldCharType="begin"/>
            </w:r>
            <w:r>
              <w:rPr>
                <w:noProof/>
                <w:webHidden/>
              </w:rPr>
              <w:instrText xml:space="preserve"> PAGEREF _Toc215931870 \h </w:instrText>
            </w:r>
            <w:r>
              <w:rPr>
                <w:noProof/>
                <w:webHidden/>
              </w:rPr>
            </w:r>
            <w:r>
              <w:rPr>
                <w:noProof/>
                <w:webHidden/>
              </w:rPr>
              <w:fldChar w:fldCharType="separate"/>
            </w:r>
            <w:r>
              <w:rPr>
                <w:noProof/>
                <w:webHidden/>
              </w:rPr>
              <w:t>15</w:t>
            </w:r>
            <w:r>
              <w:rPr>
                <w:noProof/>
                <w:webHidden/>
              </w:rPr>
              <w:fldChar w:fldCharType="end"/>
            </w:r>
          </w:hyperlink>
        </w:p>
        <w:p w14:paraId="2EDC139E" w14:textId="142158AF" w:rsidR="00045209" w:rsidRDefault="00045209">
          <w:pPr>
            <w:pStyle w:val="TOC2"/>
            <w:tabs>
              <w:tab w:val="right" w:leader="dot" w:pos="9350"/>
            </w:tabs>
            <w:rPr>
              <w:rFonts w:asciiTheme="minorHAnsi" w:eastAsiaTheme="minorEastAsia" w:hAnsiTheme="minorHAnsi"/>
              <w:noProof/>
            </w:rPr>
          </w:pPr>
          <w:hyperlink w:anchor="_Toc215931871" w:history="1">
            <w:r w:rsidRPr="00C0013B">
              <w:rPr>
                <w:rStyle w:val="Hyperlink"/>
                <w:noProof/>
              </w:rPr>
              <w:t>FED – Section C</w:t>
            </w:r>
            <w:r>
              <w:rPr>
                <w:noProof/>
                <w:webHidden/>
              </w:rPr>
              <w:tab/>
            </w:r>
            <w:r>
              <w:rPr>
                <w:noProof/>
                <w:webHidden/>
              </w:rPr>
              <w:fldChar w:fldCharType="begin"/>
            </w:r>
            <w:r>
              <w:rPr>
                <w:noProof/>
                <w:webHidden/>
              </w:rPr>
              <w:instrText xml:space="preserve"> PAGEREF _Toc215931871 \h </w:instrText>
            </w:r>
            <w:r>
              <w:rPr>
                <w:noProof/>
                <w:webHidden/>
              </w:rPr>
            </w:r>
            <w:r>
              <w:rPr>
                <w:noProof/>
                <w:webHidden/>
              </w:rPr>
              <w:fldChar w:fldCharType="separate"/>
            </w:r>
            <w:r>
              <w:rPr>
                <w:noProof/>
                <w:webHidden/>
              </w:rPr>
              <w:t>15</w:t>
            </w:r>
            <w:r>
              <w:rPr>
                <w:noProof/>
                <w:webHidden/>
              </w:rPr>
              <w:fldChar w:fldCharType="end"/>
            </w:r>
          </w:hyperlink>
        </w:p>
        <w:p w14:paraId="4BE95270" w14:textId="543C0D3F" w:rsidR="00045209" w:rsidRDefault="00045209">
          <w:pPr>
            <w:pStyle w:val="TOC3"/>
            <w:tabs>
              <w:tab w:val="right" w:leader="dot" w:pos="9350"/>
            </w:tabs>
            <w:rPr>
              <w:rFonts w:asciiTheme="minorHAnsi" w:eastAsiaTheme="minorEastAsia" w:hAnsiTheme="minorHAnsi"/>
              <w:noProof/>
            </w:rPr>
          </w:pPr>
          <w:hyperlink w:anchor="_Toc215931872" w:history="1">
            <w:r w:rsidRPr="00C0013B">
              <w:rPr>
                <w:rStyle w:val="Hyperlink"/>
                <w:noProof/>
              </w:rPr>
              <w:t>FED – Section C.1 – Mood and Behavior</w:t>
            </w:r>
            <w:r>
              <w:rPr>
                <w:noProof/>
                <w:webHidden/>
              </w:rPr>
              <w:tab/>
            </w:r>
            <w:r>
              <w:rPr>
                <w:noProof/>
                <w:webHidden/>
              </w:rPr>
              <w:fldChar w:fldCharType="begin"/>
            </w:r>
            <w:r>
              <w:rPr>
                <w:noProof/>
                <w:webHidden/>
              </w:rPr>
              <w:instrText xml:space="preserve"> PAGEREF _Toc215931872 \h </w:instrText>
            </w:r>
            <w:r>
              <w:rPr>
                <w:noProof/>
                <w:webHidden/>
              </w:rPr>
            </w:r>
            <w:r>
              <w:rPr>
                <w:noProof/>
                <w:webHidden/>
              </w:rPr>
              <w:fldChar w:fldCharType="separate"/>
            </w:r>
            <w:r>
              <w:rPr>
                <w:noProof/>
                <w:webHidden/>
              </w:rPr>
              <w:t>15</w:t>
            </w:r>
            <w:r>
              <w:rPr>
                <w:noProof/>
                <w:webHidden/>
              </w:rPr>
              <w:fldChar w:fldCharType="end"/>
            </w:r>
          </w:hyperlink>
        </w:p>
        <w:p w14:paraId="510C7BD0" w14:textId="6E4199A0" w:rsidR="00045209" w:rsidRDefault="00045209">
          <w:pPr>
            <w:pStyle w:val="TOC3"/>
            <w:tabs>
              <w:tab w:val="right" w:leader="dot" w:pos="9350"/>
            </w:tabs>
            <w:rPr>
              <w:rFonts w:asciiTheme="minorHAnsi" w:eastAsiaTheme="minorEastAsia" w:hAnsiTheme="minorHAnsi"/>
              <w:noProof/>
            </w:rPr>
          </w:pPr>
          <w:hyperlink w:anchor="_Toc215931873" w:history="1">
            <w:r w:rsidRPr="00C0013B">
              <w:rPr>
                <w:rStyle w:val="Hyperlink"/>
                <w:noProof/>
              </w:rPr>
              <w:t>FED – Section C.1 – Mood and Behavior Coding</w:t>
            </w:r>
            <w:r>
              <w:rPr>
                <w:noProof/>
                <w:webHidden/>
              </w:rPr>
              <w:tab/>
            </w:r>
            <w:r>
              <w:rPr>
                <w:noProof/>
                <w:webHidden/>
              </w:rPr>
              <w:fldChar w:fldCharType="begin"/>
            </w:r>
            <w:r>
              <w:rPr>
                <w:noProof/>
                <w:webHidden/>
              </w:rPr>
              <w:instrText xml:space="preserve"> PAGEREF _Toc215931873 \h </w:instrText>
            </w:r>
            <w:r>
              <w:rPr>
                <w:noProof/>
                <w:webHidden/>
              </w:rPr>
            </w:r>
            <w:r>
              <w:rPr>
                <w:noProof/>
                <w:webHidden/>
              </w:rPr>
              <w:fldChar w:fldCharType="separate"/>
            </w:r>
            <w:r>
              <w:rPr>
                <w:noProof/>
                <w:webHidden/>
              </w:rPr>
              <w:t>16</w:t>
            </w:r>
            <w:r>
              <w:rPr>
                <w:noProof/>
                <w:webHidden/>
              </w:rPr>
              <w:fldChar w:fldCharType="end"/>
            </w:r>
          </w:hyperlink>
        </w:p>
        <w:p w14:paraId="66F6AE55" w14:textId="1A3D054C" w:rsidR="00045209" w:rsidRDefault="00045209">
          <w:pPr>
            <w:pStyle w:val="TOC2"/>
            <w:tabs>
              <w:tab w:val="right" w:leader="dot" w:pos="9350"/>
            </w:tabs>
            <w:rPr>
              <w:rFonts w:asciiTheme="minorHAnsi" w:eastAsiaTheme="minorEastAsia" w:hAnsiTheme="minorHAnsi"/>
              <w:noProof/>
            </w:rPr>
          </w:pPr>
          <w:hyperlink w:anchor="_Toc215931874" w:history="1">
            <w:r w:rsidRPr="00C0013B">
              <w:rPr>
                <w:rStyle w:val="Hyperlink"/>
                <w:noProof/>
              </w:rPr>
              <w:t>FED – Section D</w:t>
            </w:r>
            <w:r>
              <w:rPr>
                <w:noProof/>
                <w:webHidden/>
              </w:rPr>
              <w:tab/>
            </w:r>
            <w:r>
              <w:rPr>
                <w:noProof/>
                <w:webHidden/>
              </w:rPr>
              <w:fldChar w:fldCharType="begin"/>
            </w:r>
            <w:r>
              <w:rPr>
                <w:noProof/>
                <w:webHidden/>
              </w:rPr>
              <w:instrText xml:space="preserve"> PAGEREF _Toc215931874 \h </w:instrText>
            </w:r>
            <w:r>
              <w:rPr>
                <w:noProof/>
                <w:webHidden/>
              </w:rPr>
            </w:r>
            <w:r>
              <w:rPr>
                <w:noProof/>
                <w:webHidden/>
              </w:rPr>
              <w:fldChar w:fldCharType="separate"/>
            </w:r>
            <w:r>
              <w:rPr>
                <w:noProof/>
                <w:webHidden/>
              </w:rPr>
              <w:t>18</w:t>
            </w:r>
            <w:r>
              <w:rPr>
                <w:noProof/>
                <w:webHidden/>
              </w:rPr>
              <w:fldChar w:fldCharType="end"/>
            </w:r>
          </w:hyperlink>
        </w:p>
        <w:p w14:paraId="208ACF91" w14:textId="6B695C68" w:rsidR="00045209" w:rsidRDefault="00045209">
          <w:pPr>
            <w:pStyle w:val="TOC3"/>
            <w:tabs>
              <w:tab w:val="right" w:leader="dot" w:pos="9350"/>
            </w:tabs>
            <w:rPr>
              <w:rFonts w:asciiTheme="minorHAnsi" w:eastAsiaTheme="minorEastAsia" w:hAnsiTheme="minorHAnsi"/>
              <w:noProof/>
            </w:rPr>
          </w:pPr>
          <w:hyperlink w:anchor="_Toc215931875" w:history="1">
            <w:r w:rsidRPr="00C0013B">
              <w:rPr>
                <w:rStyle w:val="Hyperlink"/>
                <w:noProof/>
              </w:rPr>
              <w:t>FED – Section D – Functional Status (ADL)</w:t>
            </w:r>
            <w:r>
              <w:rPr>
                <w:noProof/>
                <w:webHidden/>
              </w:rPr>
              <w:tab/>
            </w:r>
            <w:r>
              <w:rPr>
                <w:noProof/>
                <w:webHidden/>
              </w:rPr>
              <w:fldChar w:fldCharType="begin"/>
            </w:r>
            <w:r>
              <w:rPr>
                <w:noProof/>
                <w:webHidden/>
              </w:rPr>
              <w:instrText xml:space="preserve"> PAGEREF _Toc215931875 \h </w:instrText>
            </w:r>
            <w:r>
              <w:rPr>
                <w:noProof/>
                <w:webHidden/>
              </w:rPr>
            </w:r>
            <w:r>
              <w:rPr>
                <w:noProof/>
                <w:webHidden/>
              </w:rPr>
              <w:fldChar w:fldCharType="separate"/>
            </w:r>
            <w:r>
              <w:rPr>
                <w:noProof/>
                <w:webHidden/>
              </w:rPr>
              <w:t>18</w:t>
            </w:r>
            <w:r>
              <w:rPr>
                <w:noProof/>
                <w:webHidden/>
              </w:rPr>
              <w:fldChar w:fldCharType="end"/>
            </w:r>
          </w:hyperlink>
        </w:p>
        <w:p w14:paraId="0849BB9B" w14:textId="73BCE4B6" w:rsidR="00045209" w:rsidRDefault="00045209">
          <w:pPr>
            <w:pStyle w:val="TOC3"/>
            <w:tabs>
              <w:tab w:val="right" w:leader="dot" w:pos="9350"/>
            </w:tabs>
            <w:rPr>
              <w:rFonts w:asciiTheme="minorHAnsi" w:eastAsiaTheme="minorEastAsia" w:hAnsiTheme="minorHAnsi"/>
              <w:noProof/>
            </w:rPr>
          </w:pPr>
          <w:hyperlink w:anchor="_Toc215931876" w:history="1">
            <w:r w:rsidRPr="00C0013B">
              <w:rPr>
                <w:rStyle w:val="Hyperlink"/>
                <w:noProof/>
              </w:rPr>
              <w:t>FED – Section D.1 – Key Assessors of ADL</w:t>
            </w:r>
            <w:r>
              <w:rPr>
                <w:noProof/>
                <w:webHidden/>
              </w:rPr>
              <w:tab/>
            </w:r>
            <w:r>
              <w:rPr>
                <w:noProof/>
                <w:webHidden/>
              </w:rPr>
              <w:fldChar w:fldCharType="begin"/>
            </w:r>
            <w:r>
              <w:rPr>
                <w:noProof/>
                <w:webHidden/>
              </w:rPr>
              <w:instrText xml:space="preserve"> PAGEREF _Toc215931876 \h </w:instrText>
            </w:r>
            <w:r>
              <w:rPr>
                <w:noProof/>
                <w:webHidden/>
              </w:rPr>
            </w:r>
            <w:r>
              <w:rPr>
                <w:noProof/>
                <w:webHidden/>
              </w:rPr>
              <w:fldChar w:fldCharType="separate"/>
            </w:r>
            <w:r>
              <w:rPr>
                <w:noProof/>
                <w:webHidden/>
              </w:rPr>
              <w:t>19</w:t>
            </w:r>
            <w:r>
              <w:rPr>
                <w:noProof/>
                <w:webHidden/>
              </w:rPr>
              <w:fldChar w:fldCharType="end"/>
            </w:r>
          </w:hyperlink>
        </w:p>
        <w:p w14:paraId="0FAED931" w14:textId="5F0458AD" w:rsidR="00045209" w:rsidRDefault="00045209">
          <w:pPr>
            <w:pStyle w:val="TOC3"/>
            <w:tabs>
              <w:tab w:val="right" w:leader="dot" w:pos="9350"/>
            </w:tabs>
            <w:rPr>
              <w:rFonts w:asciiTheme="minorHAnsi" w:eastAsiaTheme="minorEastAsia" w:hAnsiTheme="minorHAnsi"/>
              <w:noProof/>
            </w:rPr>
          </w:pPr>
          <w:hyperlink w:anchor="_Toc215931877" w:history="1">
            <w:r w:rsidRPr="00C0013B">
              <w:rPr>
                <w:rStyle w:val="Hyperlink"/>
                <w:noProof/>
              </w:rPr>
              <w:t>FED – Section D.1 – Functional Status – Coding ADLs</w:t>
            </w:r>
            <w:r>
              <w:rPr>
                <w:noProof/>
                <w:webHidden/>
              </w:rPr>
              <w:tab/>
            </w:r>
            <w:r>
              <w:rPr>
                <w:noProof/>
                <w:webHidden/>
              </w:rPr>
              <w:fldChar w:fldCharType="begin"/>
            </w:r>
            <w:r>
              <w:rPr>
                <w:noProof/>
                <w:webHidden/>
              </w:rPr>
              <w:instrText xml:space="preserve"> PAGEREF _Toc215931877 \h </w:instrText>
            </w:r>
            <w:r>
              <w:rPr>
                <w:noProof/>
                <w:webHidden/>
              </w:rPr>
            </w:r>
            <w:r>
              <w:rPr>
                <w:noProof/>
                <w:webHidden/>
              </w:rPr>
              <w:fldChar w:fldCharType="separate"/>
            </w:r>
            <w:r>
              <w:rPr>
                <w:noProof/>
                <w:webHidden/>
              </w:rPr>
              <w:t>20</w:t>
            </w:r>
            <w:r>
              <w:rPr>
                <w:noProof/>
                <w:webHidden/>
              </w:rPr>
              <w:fldChar w:fldCharType="end"/>
            </w:r>
          </w:hyperlink>
        </w:p>
        <w:p w14:paraId="41CEE2E6" w14:textId="31B74F77" w:rsidR="00045209" w:rsidRDefault="00045209">
          <w:pPr>
            <w:pStyle w:val="TOC3"/>
            <w:tabs>
              <w:tab w:val="right" w:leader="dot" w:pos="9350"/>
            </w:tabs>
            <w:rPr>
              <w:rFonts w:asciiTheme="minorHAnsi" w:eastAsiaTheme="minorEastAsia" w:hAnsiTheme="minorHAnsi"/>
              <w:noProof/>
            </w:rPr>
          </w:pPr>
          <w:hyperlink w:anchor="_Toc215931878" w:history="1">
            <w:r w:rsidRPr="00C0013B">
              <w:rPr>
                <w:rStyle w:val="Hyperlink"/>
                <w:noProof/>
              </w:rPr>
              <w:t>FED – Section D – Functional Status – Coding</w:t>
            </w:r>
            <w:r>
              <w:rPr>
                <w:noProof/>
                <w:webHidden/>
              </w:rPr>
              <w:tab/>
            </w:r>
            <w:r>
              <w:rPr>
                <w:noProof/>
                <w:webHidden/>
              </w:rPr>
              <w:fldChar w:fldCharType="begin"/>
            </w:r>
            <w:r>
              <w:rPr>
                <w:noProof/>
                <w:webHidden/>
              </w:rPr>
              <w:instrText xml:space="preserve"> PAGEREF _Toc215931878 \h </w:instrText>
            </w:r>
            <w:r>
              <w:rPr>
                <w:noProof/>
                <w:webHidden/>
              </w:rPr>
            </w:r>
            <w:r>
              <w:rPr>
                <w:noProof/>
                <w:webHidden/>
              </w:rPr>
              <w:fldChar w:fldCharType="separate"/>
            </w:r>
            <w:r>
              <w:rPr>
                <w:noProof/>
                <w:webHidden/>
              </w:rPr>
              <w:t>20</w:t>
            </w:r>
            <w:r>
              <w:rPr>
                <w:noProof/>
                <w:webHidden/>
              </w:rPr>
              <w:fldChar w:fldCharType="end"/>
            </w:r>
          </w:hyperlink>
        </w:p>
        <w:p w14:paraId="38E370F0" w14:textId="4DF431D0" w:rsidR="00045209" w:rsidRDefault="00045209">
          <w:pPr>
            <w:pStyle w:val="TOC3"/>
            <w:tabs>
              <w:tab w:val="right" w:leader="dot" w:pos="9350"/>
            </w:tabs>
            <w:rPr>
              <w:rFonts w:asciiTheme="minorHAnsi" w:eastAsiaTheme="minorEastAsia" w:hAnsiTheme="minorHAnsi"/>
              <w:noProof/>
            </w:rPr>
          </w:pPr>
          <w:hyperlink w:anchor="_Toc215931879" w:history="1">
            <w:r w:rsidRPr="00C0013B">
              <w:rPr>
                <w:rStyle w:val="Hyperlink"/>
                <w:noProof/>
              </w:rPr>
              <w:t>FED – Section D.1 – Bathing</w:t>
            </w:r>
            <w:r>
              <w:rPr>
                <w:noProof/>
                <w:webHidden/>
              </w:rPr>
              <w:tab/>
            </w:r>
            <w:r>
              <w:rPr>
                <w:noProof/>
                <w:webHidden/>
              </w:rPr>
              <w:fldChar w:fldCharType="begin"/>
            </w:r>
            <w:r>
              <w:rPr>
                <w:noProof/>
                <w:webHidden/>
              </w:rPr>
              <w:instrText xml:space="preserve"> PAGEREF _Toc215931879 \h </w:instrText>
            </w:r>
            <w:r>
              <w:rPr>
                <w:noProof/>
                <w:webHidden/>
              </w:rPr>
            </w:r>
            <w:r>
              <w:rPr>
                <w:noProof/>
                <w:webHidden/>
              </w:rPr>
              <w:fldChar w:fldCharType="separate"/>
            </w:r>
            <w:r>
              <w:rPr>
                <w:noProof/>
                <w:webHidden/>
              </w:rPr>
              <w:t>21</w:t>
            </w:r>
            <w:r>
              <w:rPr>
                <w:noProof/>
                <w:webHidden/>
              </w:rPr>
              <w:fldChar w:fldCharType="end"/>
            </w:r>
          </w:hyperlink>
        </w:p>
        <w:p w14:paraId="087089CC" w14:textId="0DE2350D" w:rsidR="00045209" w:rsidRDefault="00045209">
          <w:pPr>
            <w:pStyle w:val="TOC3"/>
            <w:tabs>
              <w:tab w:val="right" w:leader="dot" w:pos="9350"/>
            </w:tabs>
            <w:rPr>
              <w:rFonts w:asciiTheme="minorHAnsi" w:eastAsiaTheme="minorEastAsia" w:hAnsiTheme="minorHAnsi"/>
              <w:noProof/>
            </w:rPr>
          </w:pPr>
          <w:hyperlink w:anchor="_Toc215931880" w:history="1">
            <w:r w:rsidRPr="00C0013B">
              <w:rPr>
                <w:rStyle w:val="Hyperlink"/>
                <w:noProof/>
              </w:rPr>
              <w:t>FED – Section D.1 – Walking and Locomotion</w:t>
            </w:r>
            <w:r>
              <w:rPr>
                <w:noProof/>
                <w:webHidden/>
              </w:rPr>
              <w:tab/>
            </w:r>
            <w:r>
              <w:rPr>
                <w:noProof/>
                <w:webHidden/>
              </w:rPr>
              <w:fldChar w:fldCharType="begin"/>
            </w:r>
            <w:r>
              <w:rPr>
                <w:noProof/>
                <w:webHidden/>
              </w:rPr>
              <w:instrText xml:space="preserve"> PAGEREF _Toc215931880 \h </w:instrText>
            </w:r>
            <w:r>
              <w:rPr>
                <w:noProof/>
                <w:webHidden/>
              </w:rPr>
            </w:r>
            <w:r>
              <w:rPr>
                <w:noProof/>
                <w:webHidden/>
              </w:rPr>
              <w:fldChar w:fldCharType="separate"/>
            </w:r>
            <w:r>
              <w:rPr>
                <w:noProof/>
                <w:webHidden/>
              </w:rPr>
              <w:t>22</w:t>
            </w:r>
            <w:r>
              <w:rPr>
                <w:noProof/>
                <w:webHidden/>
              </w:rPr>
              <w:fldChar w:fldCharType="end"/>
            </w:r>
          </w:hyperlink>
        </w:p>
        <w:p w14:paraId="60630C15" w14:textId="1045B001" w:rsidR="00045209" w:rsidRDefault="00045209">
          <w:pPr>
            <w:pStyle w:val="TOC3"/>
            <w:tabs>
              <w:tab w:val="right" w:leader="dot" w:pos="9350"/>
            </w:tabs>
            <w:rPr>
              <w:rFonts w:asciiTheme="minorHAnsi" w:eastAsiaTheme="minorEastAsia" w:hAnsiTheme="minorHAnsi"/>
              <w:noProof/>
            </w:rPr>
          </w:pPr>
          <w:hyperlink w:anchor="_Toc215931881" w:history="1">
            <w:r w:rsidRPr="00C0013B">
              <w:rPr>
                <w:rStyle w:val="Hyperlink"/>
                <w:noProof/>
              </w:rPr>
              <w:t>FED – Section D.1 – Toileting</w:t>
            </w:r>
            <w:r>
              <w:rPr>
                <w:noProof/>
                <w:webHidden/>
              </w:rPr>
              <w:tab/>
            </w:r>
            <w:r>
              <w:rPr>
                <w:noProof/>
                <w:webHidden/>
              </w:rPr>
              <w:fldChar w:fldCharType="begin"/>
            </w:r>
            <w:r>
              <w:rPr>
                <w:noProof/>
                <w:webHidden/>
              </w:rPr>
              <w:instrText xml:space="preserve"> PAGEREF _Toc215931881 \h </w:instrText>
            </w:r>
            <w:r>
              <w:rPr>
                <w:noProof/>
                <w:webHidden/>
              </w:rPr>
            </w:r>
            <w:r>
              <w:rPr>
                <w:noProof/>
                <w:webHidden/>
              </w:rPr>
              <w:fldChar w:fldCharType="separate"/>
            </w:r>
            <w:r>
              <w:rPr>
                <w:noProof/>
                <w:webHidden/>
              </w:rPr>
              <w:t>23</w:t>
            </w:r>
            <w:r>
              <w:rPr>
                <w:noProof/>
                <w:webHidden/>
              </w:rPr>
              <w:fldChar w:fldCharType="end"/>
            </w:r>
          </w:hyperlink>
        </w:p>
        <w:p w14:paraId="52D36B94" w14:textId="5EFD4290" w:rsidR="00045209" w:rsidRDefault="00045209">
          <w:pPr>
            <w:pStyle w:val="TOC3"/>
            <w:tabs>
              <w:tab w:val="right" w:leader="dot" w:pos="9350"/>
            </w:tabs>
            <w:rPr>
              <w:rFonts w:asciiTheme="minorHAnsi" w:eastAsiaTheme="minorEastAsia" w:hAnsiTheme="minorHAnsi"/>
              <w:noProof/>
            </w:rPr>
          </w:pPr>
          <w:hyperlink w:anchor="_Toc215931882" w:history="1">
            <w:r w:rsidRPr="00C0013B">
              <w:rPr>
                <w:rStyle w:val="Hyperlink"/>
                <w:noProof/>
              </w:rPr>
              <w:t>FED – Section D – Functional Status – Locomotion</w:t>
            </w:r>
            <w:r>
              <w:rPr>
                <w:noProof/>
                <w:webHidden/>
              </w:rPr>
              <w:tab/>
            </w:r>
            <w:r>
              <w:rPr>
                <w:noProof/>
                <w:webHidden/>
              </w:rPr>
              <w:fldChar w:fldCharType="begin"/>
            </w:r>
            <w:r>
              <w:rPr>
                <w:noProof/>
                <w:webHidden/>
              </w:rPr>
              <w:instrText xml:space="preserve"> PAGEREF _Toc215931882 \h </w:instrText>
            </w:r>
            <w:r>
              <w:rPr>
                <w:noProof/>
                <w:webHidden/>
              </w:rPr>
            </w:r>
            <w:r>
              <w:rPr>
                <w:noProof/>
                <w:webHidden/>
              </w:rPr>
              <w:fldChar w:fldCharType="separate"/>
            </w:r>
            <w:r>
              <w:rPr>
                <w:noProof/>
                <w:webHidden/>
              </w:rPr>
              <w:t>24</w:t>
            </w:r>
            <w:r>
              <w:rPr>
                <w:noProof/>
                <w:webHidden/>
              </w:rPr>
              <w:fldChar w:fldCharType="end"/>
            </w:r>
          </w:hyperlink>
        </w:p>
        <w:p w14:paraId="13D2E077" w14:textId="61EB35C6" w:rsidR="00045209" w:rsidRDefault="00045209">
          <w:pPr>
            <w:pStyle w:val="TOC3"/>
            <w:tabs>
              <w:tab w:val="right" w:leader="dot" w:pos="9350"/>
            </w:tabs>
            <w:rPr>
              <w:rFonts w:asciiTheme="minorHAnsi" w:eastAsiaTheme="minorEastAsia" w:hAnsiTheme="minorHAnsi"/>
              <w:noProof/>
            </w:rPr>
          </w:pPr>
          <w:hyperlink w:anchor="_Toc215931883" w:history="1">
            <w:r w:rsidRPr="00C0013B">
              <w:rPr>
                <w:rStyle w:val="Hyperlink"/>
                <w:noProof/>
              </w:rPr>
              <w:t>FED – Section D – Functional Status – Medications</w:t>
            </w:r>
            <w:r>
              <w:rPr>
                <w:noProof/>
                <w:webHidden/>
              </w:rPr>
              <w:tab/>
            </w:r>
            <w:r>
              <w:rPr>
                <w:noProof/>
                <w:webHidden/>
              </w:rPr>
              <w:fldChar w:fldCharType="begin"/>
            </w:r>
            <w:r>
              <w:rPr>
                <w:noProof/>
                <w:webHidden/>
              </w:rPr>
              <w:instrText xml:space="preserve"> PAGEREF _Toc215931883 \h </w:instrText>
            </w:r>
            <w:r>
              <w:rPr>
                <w:noProof/>
                <w:webHidden/>
              </w:rPr>
            </w:r>
            <w:r>
              <w:rPr>
                <w:noProof/>
                <w:webHidden/>
              </w:rPr>
              <w:fldChar w:fldCharType="separate"/>
            </w:r>
            <w:r>
              <w:rPr>
                <w:noProof/>
                <w:webHidden/>
              </w:rPr>
              <w:t>24</w:t>
            </w:r>
            <w:r>
              <w:rPr>
                <w:noProof/>
                <w:webHidden/>
              </w:rPr>
              <w:fldChar w:fldCharType="end"/>
            </w:r>
          </w:hyperlink>
        </w:p>
        <w:p w14:paraId="1BF9E496" w14:textId="600DB85C" w:rsidR="00045209" w:rsidRDefault="00045209">
          <w:pPr>
            <w:pStyle w:val="TOC2"/>
            <w:tabs>
              <w:tab w:val="right" w:leader="dot" w:pos="9350"/>
            </w:tabs>
            <w:rPr>
              <w:rFonts w:asciiTheme="minorHAnsi" w:eastAsiaTheme="minorEastAsia" w:hAnsiTheme="minorHAnsi"/>
              <w:noProof/>
            </w:rPr>
          </w:pPr>
          <w:hyperlink w:anchor="_Toc215931884" w:history="1">
            <w:r w:rsidRPr="00C0013B">
              <w:rPr>
                <w:rStyle w:val="Hyperlink"/>
                <w:noProof/>
              </w:rPr>
              <w:t>FED – Section E</w:t>
            </w:r>
            <w:r>
              <w:rPr>
                <w:noProof/>
                <w:webHidden/>
              </w:rPr>
              <w:tab/>
            </w:r>
            <w:r>
              <w:rPr>
                <w:noProof/>
                <w:webHidden/>
              </w:rPr>
              <w:fldChar w:fldCharType="begin"/>
            </w:r>
            <w:r>
              <w:rPr>
                <w:noProof/>
                <w:webHidden/>
              </w:rPr>
              <w:instrText xml:space="preserve"> PAGEREF _Toc215931884 \h </w:instrText>
            </w:r>
            <w:r>
              <w:rPr>
                <w:noProof/>
                <w:webHidden/>
              </w:rPr>
            </w:r>
            <w:r>
              <w:rPr>
                <w:noProof/>
                <w:webHidden/>
              </w:rPr>
              <w:fldChar w:fldCharType="separate"/>
            </w:r>
            <w:r>
              <w:rPr>
                <w:noProof/>
                <w:webHidden/>
              </w:rPr>
              <w:t>25</w:t>
            </w:r>
            <w:r>
              <w:rPr>
                <w:noProof/>
                <w:webHidden/>
              </w:rPr>
              <w:fldChar w:fldCharType="end"/>
            </w:r>
          </w:hyperlink>
        </w:p>
        <w:p w14:paraId="5CC3208A" w14:textId="3FACBBCF" w:rsidR="00045209" w:rsidRDefault="00045209">
          <w:pPr>
            <w:pStyle w:val="TOC3"/>
            <w:tabs>
              <w:tab w:val="right" w:leader="dot" w:pos="9350"/>
            </w:tabs>
            <w:rPr>
              <w:rFonts w:asciiTheme="minorHAnsi" w:eastAsiaTheme="minorEastAsia" w:hAnsiTheme="minorHAnsi"/>
              <w:noProof/>
            </w:rPr>
          </w:pPr>
          <w:hyperlink w:anchor="_Toc215931885" w:history="1">
            <w:r w:rsidRPr="00C0013B">
              <w:rPr>
                <w:rStyle w:val="Hyperlink"/>
                <w:noProof/>
              </w:rPr>
              <w:t>FED – Section E – Continence</w:t>
            </w:r>
            <w:r>
              <w:rPr>
                <w:noProof/>
                <w:webHidden/>
              </w:rPr>
              <w:tab/>
            </w:r>
            <w:r>
              <w:rPr>
                <w:noProof/>
                <w:webHidden/>
              </w:rPr>
              <w:fldChar w:fldCharType="begin"/>
            </w:r>
            <w:r>
              <w:rPr>
                <w:noProof/>
                <w:webHidden/>
              </w:rPr>
              <w:instrText xml:space="preserve"> PAGEREF _Toc215931885 \h </w:instrText>
            </w:r>
            <w:r>
              <w:rPr>
                <w:noProof/>
                <w:webHidden/>
              </w:rPr>
            </w:r>
            <w:r>
              <w:rPr>
                <w:noProof/>
                <w:webHidden/>
              </w:rPr>
              <w:fldChar w:fldCharType="separate"/>
            </w:r>
            <w:r>
              <w:rPr>
                <w:noProof/>
                <w:webHidden/>
              </w:rPr>
              <w:t>25</w:t>
            </w:r>
            <w:r>
              <w:rPr>
                <w:noProof/>
                <w:webHidden/>
              </w:rPr>
              <w:fldChar w:fldCharType="end"/>
            </w:r>
          </w:hyperlink>
        </w:p>
        <w:p w14:paraId="44C42400" w14:textId="058155EC" w:rsidR="00045209" w:rsidRDefault="00045209">
          <w:pPr>
            <w:pStyle w:val="TOC3"/>
            <w:tabs>
              <w:tab w:val="right" w:leader="dot" w:pos="9350"/>
            </w:tabs>
            <w:rPr>
              <w:rFonts w:asciiTheme="minorHAnsi" w:eastAsiaTheme="minorEastAsia" w:hAnsiTheme="minorHAnsi"/>
              <w:noProof/>
            </w:rPr>
          </w:pPr>
          <w:hyperlink w:anchor="_Toc215931886" w:history="1">
            <w:r w:rsidRPr="00C0013B">
              <w:rPr>
                <w:rStyle w:val="Hyperlink"/>
                <w:noProof/>
              </w:rPr>
              <w:t>FED – Section E.1 – Urinary Examples</w:t>
            </w:r>
            <w:r>
              <w:rPr>
                <w:noProof/>
                <w:webHidden/>
              </w:rPr>
              <w:tab/>
            </w:r>
            <w:r>
              <w:rPr>
                <w:noProof/>
                <w:webHidden/>
              </w:rPr>
              <w:fldChar w:fldCharType="begin"/>
            </w:r>
            <w:r>
              <w:rPr>
                <w:noProof/>
                <w:webHidden/>
              </w:rPr>
              <w:instrText xml:space="preserve"> PAGEREF _Toc215931886 \h </w:instrText>
            </w:r>
            <w:r>
              <w:rPr>
                <w:noProof/>
                <w:webHidden/>
              </w:rPr>
            </w:r>
            <w:r>
              <w:rPr>
                <w:noProof/>
                <w:webHidden/>
              </w:rPr>
              <w:fldChar w:fldCharType="separate"/>
            </w:r>
            <w:r>
              <w:rPr>
                <w:noProof/>
                <w:webHidden/>
              </w:rPr>
              <w:t>26</w:t>
            </w:r>
            <w:r>
              <w:rPr>
                <w:noProof/>
                <w:webHidden/>
              </w:rPr>
              <w:fldChar w:fldCharType="end"/>
            </w:r>
          </w:hyperlink>
        </w:p>
        <w:p w14:paraId="33A5F3FC" w14:textId="5818AAE2" w:rsidR="00045209" w:rsidRDefault="00045209">
          <w:pPr>
            <w:pStyle w:val="TOC3"/>
            <w:tabs>
              <w:tab w:val="right" w:leader="dot" w:pos="9350"/>
            </w:tabs>
            <w:rPr>
              <w:rFonts w:asciiTheme="minorHAnsi" w:eastAsiaTheme="minorEastAsia" w:hAnsiTheme="minorHAnsi"/>
              <w:noProof/>
            </w:rPr>
          </w:pPr>
          <w:hyperlink w:anchor="_Toc215931887" w:history="1">
            <w:r w:rsidRPr="00C0013B">
              <w:rPr>
                <w:rStyle w:val="Hyperlink"/>
                <w:noProof/>
              </w:rPr>
              <w:t>FED – Section E – Urinary Collection</w:t>
            </w:r>
            <w:r>
              <w:rPr>
                <w:noProof/>
                <w:webHidden/>
              </w:rPr>
              <w:tab/>
            </w:r>
            <w:r>
              <w:rPr>
                <w:noProof/>
                <w:webHidden/>
              </w:rPr>
              <w:fldChar w:fldCharType="begin"/>
            </w:r>
            <w:r>
              <w:rPr>
                <w:noProof/>
                <w:webHidden/>
              </w:rPr>
              <w:instrText xml:space="preserve"> PAGEREF _Toc215931887 \h </w:instrText>
            </w:r>
            <w:r>
              <w:rPr>
                <w:noProof/>
                <w:webHidden/>
              </w:rPr>
            </w:r>
            <w:r>
              <w:rPr>
                <w:noProof/>
                <w:webHidden/>
              </w:rPr>
              <w:fldChar w:fldCharType="separate"/>
            </w:r>
            <w:r>
              <w:rPr>
                <w:noProof/>
                <w:webHidden/>
              </w:rPr>
              <w:t>26</w:t>
            </w:r>
            <w:r>
              <w:rPr>
                <w:noProof/>
                <w:webHidden/>
              </w:rPr>
              <w:fldChar w:fldCharType="end"/>
            </w:r>
          </w:hyperlink>
        </w:p>
        <w:p w14:paraId="008DD82D" w14:textId="213B83D6" w:rsidR="00045209" w:rsidRDefault="00045209">
          <w:pPr>
            <w:pStyle w:val="TOC3"/>
            <w:tabs>
              <w:tab w:val="right" w:leader="dot" w:pos="9350"/>
            </w:tabs>
            <w:rPr>
              <w:rFonts w:asciiTheme="minorHAnsi" w:eastAsiaTheme="minorEastAsia" w:hAnsiTheme="minorHAnsi"/>
              <w:noProof/>
            </w:rPr>
          </w:pPr>
          <w:hyperlink w:anchor="_Toc215931888" w:history="1">
            <w:r w:rsidRPr="00C0013B">
              <w:rPr>
                <w:rStyle w:val="Hyperlink"/>
                <w:noProof/>
              </w:rPr>
              <w:t>FED – Section E.3 – Bowel Continence</w:t>
            </w:r>
            <w:r>
              <w:rPr>
                <w:noProof/>
                <w:webHidden/>
              </w:rPr>
              <w:tab/>
            </w:r>
            <w:r>
              <w:rPr>
                <w:noProof/>
                <w:webHidden/>
              </w:rPr>
              <w:fldChar w:fldCharType="begin"/>
            </w:r>
            <w:r>
              <w:rPr>
                <w:noProof/>
                <w:webHidden/>
              </w:rPr>
              <w:instrText xml:space="preserve"> PAGEREF _Toc215931888 \h </w:instrText>
            </w:r>
            <w:r>
              <w:rPr>
                <w:noProof/>
                <w:webHidden/>
              </w:rPr>
            </w:r>
            <w:r>
              <w:rPr>
                <w:noProof/>
                <w:webHidden/>
              </w:rPr>
              <w:fldChar w:fldCharType="separate"/>
            </w:r>
            <w:r>
              <w:rPr>
                <w:noProof/>
                <w:webHidden/>
              </w:rPr>
              <w:t>27</w:t>
            </w:r>
            <w:r>
              <w:rPr>
                <w:noProof/>
                <w:webHidden/>
              </w:rPr>
              <w:fldChar w:fldCharType="end"/>
            </w:r>
          </w:hyperlink>
        </w:p>
        <w:p w14:paraId="5CAAF0B7" w14:textId="67DBD5EA" w:rsidR="00045209" w:rsidRDefault="00045209">
          <w:pPr>
            <w:pStyle w:val="TOC3"/>
            <w:tabs>
              <w:tab w:val="right" w:leader="dot" w:pos="9350"/>
            </w:tabs>
            <w:rPr>
              <w:rFonts w:asciiTheme="minorHAnsi" w:eastAsiaTheme="minorEastAsia" w:hAnsiTheme="minorHAnsi"/>
              <w:noProof/>
            </w:rPr>
          </w:pPr>
          <w:hyperlink w:anchor="_Toc215931889" w:history="1">
            <w:r w:rsidRPr="00C0013B">
              <w:rPr>
                <w:rStyle w:val="Hyperlink"/>
                <w:noProof/>
              </w:rPr>
              <w:t>FED – Section E.4 – Pads or Briefs Worn</w:t>
            </w:r>
            <w:r>
              <w:rPr>
                <w:noProof/>
                <w:webHidden/>
              </w:rPr>
              <w:tab/>
            </w:r>
            <w:r>
              <w:rPr>
                <w:noProof/>
                <w:webHidden/>
              </w:rPr>
              <w:fldChar w:fldCharType="begin"/>
            </w:r>
            <w:r>
              <w:rPr>
                <w:noProof/>
                <w:webHidden/>
              </w:rPr>
              <w:instrText xml:space="preserve"> PAGEREF _Toc215931889 \h </w:instrText>
            </w:r>
            <w:r>
              <w:rPr>
                <w:noProof/>
                <w:webHidden/>
              </w:rPr>
            </w:r>
            <w:r>
              <w:rPr>
                <w:noProof/>
                <w:webHidden/>
              </w:rPr>
              <w:fldChar w:fldCharType="separate"/>
            </w:r>
            <w:r>
              <w:rPr>
                <w:noProof/>
                <w:webHidden/>
              </w:rPr>
              <w:t>28</w:t>
            </w:r>
            <w:r>
              <w:rPr>
                <w:noProof/>
                <w:webHidden/>
              </w:rPr>
              <w:fldChar w:fldCharType="end"/>
            </w:r>
          </w:hyperlink>
        </w:p>
        <w:p w14:paraId="24E1896E" w14:textId="5D3AB4D7" w:rsidR="00045209" w:rsidRDefault="00045209">
          <w:pPr>
            <w:pStyle w:val="TOC2"/>
            <w:tabs>
              <w:tab w:val="right" w:leader="dot" w:pos="9350"/>
            </w:tabs>
            <w:rPr>
              <w:rFonts w:asciiTheme="minorHAnsi" w:eastAsiaTheme="minorEastAsia" w:hAnsiTheme="minorHAnsi"/>
              <w:noProof/>
            </w:rPr>
          </w:pPr>
          <w:hyperlink w:anchor="_Toc215931890" w:history="1">
            <w:r w:rsidRPr="00C0013B">
              <w:rPr>
                <w:rStyle w:val="Hyperlink"/>
                <w:noProof/>
              </w:rPr>
              <w:t>FED – Section F</w:t>
            </w:r>
            <w:r>
              <w:rPr>
                <w:noProof/>
                <w:webHidden/>
              </w:rPr>
              <w:tab/>
            </w:r>
            <w:r>
              <w:rPr>
                <w:noProof/>
                <w:webHidden/>
              </w:rPr>
              <w:fldChar w:fldCharType="begin"/>
            </w:r>
            <w:r>
              <w:rPr>
                <w:noProof/>
                <w:webHidden/>
              </w:rPr>
              <w:instrText xml:space="preserve"> PAGEREF _Toc215931890 \h </w:instrText>
            </w:r>
            <w:r>
              <w:rPr>
                <w:noProof/>
                <w:webHidden/>
              </w:rPr>
            </w:r>
            <w:r>
              <w:rPr>
                <w:noProof/>
                <w:webHidden/>
              </w:rPr>
              <w:fldChar w:fldCharType="separate"/>
            </w:r>
            <w:r>
              <w:rPr>
                <w:noProof/>
                <w:webHidden/>
              </w:rPr>
              <w:t>28</w:t>
            </w:r>
            <w:r>
              <w:rPr>
                <w:noProof/>
                <w:webHidden/>
              </w:rPr>
              <w:fldChar w:fldCharType="end"/>
            </w:r>
          </w:hyperlink>
        </w:p>
        <w:p w14:paraId="7B6203F2" w14:textId="019B9062" w:rsidR="00045209" w:rsidRDefault="00045209">
          <w:pPr>
            <w:pStyle w:val="TOC3"/>
            <w:tabs>
              <w:tab w:val="right" w:leader="dot" w:pos="9350"/>
            </w:tabs>
            <w:rPr>
              <w:rFonts w:asciiTheme="minorHAnsi" w:eastAsiaTheme="minorEastAsia" w:hAnsiTheme="minorHAnsi"/>
              <w:noProof/>
            </w:rPr>
          </w:pPr>
          <w:hyperlink w:anchor="_Toc215931891" w:history="1">
            <w:r w:rsidRPr="00C0013B">
              <w:rPr>
                <w:rStyle w:val="Hyperlink"/>
                <w:noProof/>
              </w:rPr>
              <w:t>FED – Section F – Treatments and Procedures</w:t>
            </w:r>
            <w:r>
              <w:rPr>
                <w:noProof/>
                <w:webHidden/>
              </w:rPr>
              <w:tab/>
            </w:r>
            <w:r>
              <w:rPr>
                <w:noProof/>
                <w:webHidden/>
              </w:rPr>
              <w:fldChar w:fldCharType="begin"/>
            </w:r>
            <w:r>
              <w:rPr>
                <w:noProof/>
                <w:webHidden/>
              </w:rPr>
              <w:instrText xml:space="preserve"> PAGEREF _Toc215931891 \h </w:instrText>
            </w:r>
            <w:r>
              <w:rPr>
                <w:noProof/>
                <w:webHidden/>
              </w:rPr>
            </w:r>
            <w:r>
              <w:rPr>
                <w:noProof/>
                <w:webHidden/>
              </w:rPr>
              <w:fldChar w:fldCharType="separate"/>
            </w:r>
            <w:r>
              <w:rPr>
                <w:noProof/>
                <w:webHidden/>
              </w:rPr>
              <w:t>28</w:t>
            </w:r>
            <w:r>
              <w:rPr>
                <w:noProof/>
                <w:webHidden/>
              </w:rPr>
              <w:fldChar w:fldCharType="end"/>
            </w:r>
          </w:hyperlink>
        </w:p>
        <w:p w14:paraId="7A3E4396" w14:textId="1031A310" w:rsidR="00045209" w:rsidRDefault="00045209">
          <w:pPr>
            <w:pStyle w:val="TOC2"/>
            <w:tabs>
              <w:tab w:val="right" w:leader="dot" w:pos="9350"/>
            </w:tabs>
            <w:rPr>
              <w:rFonts w:asciiTheme="minorHAnsi" w:eastAsiaTheme="minorEastAsia" w:hAnsiTheme="minorHAnsi"/>
              <w:noProof/>
            </w:rPr>
          </w:pPr>
          <w:hyperlink w:anchor="_Toc215931892" w:history="1">
            <w:r w:rsidRPr="00C0013B">
              <w:rPr>
                <w:rStyle w:val="Hyperlink"/>
                <w:noProof/>
              </w:rPr>
              <w:t>FED – Section G</w:t>
            </w:r>
            <w:r>
              <w:rPr>
                <w:noProof/>
                <w:webHidden/>
              </w:rPr>
              <w:tab/>
            </w:r>
            <w:r>
              <w:rPr>
                <w:noProof/>
                <w:webHidden/>
              </w:rPr>
              <w:fldChar w:fldCharType="begin"/>
            </w:r>
            <w:r>
              <w:rPr>
                <w:noProof/>
                <w:webHidden/>
              </w:rPr>
              <w:instrText xml:space="preserve"> PAGEREF _Toc215931892 \h </w:instrText>
            </w:r>
            <w:r>
              <w:rPr>
                <w:noProof/>
                <w:webHidden/>
              </w:rPr>
            </w:r>
            <w:r>
              <w:rPr>
                <w:noProof/>
                <w:webHidden/>
              </w:rPr>
              <w:fldChar w:fldCharType="separate"/>
            </w:r>
            <w:r>
              <w:rPr>
                <w:noProof/>
                <w:webHidden/>
              </w:rPr>
              <w:t>28</w:t>
            </w:r>
            <w:r>
              <w:rPr>
                <w:noProof/>
                <w:webHidden/>
              </w:rPr>
              <w:fldChar w:fldCharType="end"/>
            </w:r>
          </w:hyperlink>
        </w:p>
        <w:p w14:paraId="41B3C841" w14:textId="299F35C5" w:rsidR="00045209" w:rsidRDefault="00045209">
          <w:pPr>
            <w:pStyle w:val="TOC3"/>
            <w:tabs>
              <w:tab w:val="right" w:leader="dot" w:pos="9350"/>
            </w:tabs>
            <w:rPr>
              <w:rFonts w:asciiTheme="minorHAnsi" w:eastAsiaTheme="minorEastAsia" w:hAnsiTheme="minorHAnsi"/>
              <w:noProof/>
            </w:rPr>
          </w:pPr>
          <w:hyperlink w:anchor="_Toc215931893" w:history="1">
            <w:r w:rsidRPr="00C0013B">
              <w:rPr>
                <w:rStyle w:val="Hyperlink"/>
                <w:noProof/>
              </w:rPr>
              <w:t>FED – Section G – Functional Status – IADLS</w:t>
            </w:r>
            <w:r>
              <w:rPr>
                <w:noProof/>
                <w:webHidden/>
              </w:rPr>
              <w:tab/>
            </w:r>
            <w:r>
              <w:rPr>
                <w:noProof/>
                <w:webHidden/>
              </w:rPr>
              <w:fldChar w:fldCharType="begin"/>
            </w:r>
            <w:r>
              <w:rPr>
                <w:noProof/>
                <w:webHidden/>
              </w:rPr>
              <w:instrText xml:space="preserve"> PAGEREF _Toc215931893 \h </w:instrText>
            </w:r>
            <w:r>
              <w:rPr>
                <w:noProof/>
                <w:webHidden/>
              </w:rPr>
            </w:r>
            <w:r>
              <w:rPr>
                <w:noProof/>
                <w:webHidden/>
              </w:rPr>
              <w:fldChar w:fldCharType="separate"/>
            </w:r>
            <w:r>
              <w:rPr>
                <w:noProof/>
                <w:webHidden/>
              </w:rPr>
              <w:t>29</w:t>
            </w:r>
            <w:r>
              <w:rPr>
                <w:noProof/>
                <w:webHidden/>
              </w:rPr>
              <w:fldChar w:fldCharType="end"/>
            </w:r>
          </w:hyperlink>
        </w:p>
        <w:p w14:paraId="29163BB5" w14:textId="0183E398" w:rsidR="00045209" w:rsidRDefault="00045209">
          <w:pPr>
            <w:pStyle w:val="TOC3"/>
            <w:tabs>
              <w:tab w:val="right" w:leader="dot" w:pos="9350"/>
            </w:tabs>
            <w:rPr>
              <w:rFonts w:asciiTheme="minorHAnsi" w:eastAsiaTheme="minorEastAsia" w:hAnsiTheme="minorHAnsi"/>
              <w:noProof/>
            </w:rPr>
          </w:pPr>
          <w:hyperlink w:anchor="_Toc215931894" w:history="1">
            <w:r w:rsidRPr="00C0013B">
              <w:rPr>
                <w:rStyle w:val="Hyperlink"/>
                <w:noProof/>
              </w:rPr>
              <w:t>IADLs – Performance and Capacity</w:t>
            </w:r>
            <w:r>
              <w:rPr>
                <w:noProof/>
                <w:webHidden/>
              </w:rPr>
              <w:tab/>
            </w:r>
            <w:r>
              <w:rPr>
                <w:noProof/>
                <w:webHidden/>
              </w:rPr>
              <w:fldChar w:fldCharType="begin"/>
            </w:r>
            <w:r>
              <w:rPr>
                <w:noProof/>
                <w:webHidden/>
              </w:rPr>
              <w:instrText xml:space="preserve"> PAGEREF _Toc215931894 \h </w:instrText>
            </w:r>
            <w:r>
              <w:rPr>
                <w:noProof/>
                <w:webHidden/>
              </w:rPr>
            </w:r>
            <w:r>
              <w:rPr>
                <w:noProof/>
                <w:webHidden/>
              </w:rPr>
              <w:fldChar w:fldCharType="separate"/>
            </w:r>
            <w:r>
              <w:rPr>
                <w:noProof/>
                <w:webHidden/>
              </w:rPr>
              <w:t>29</w:t>
            </w:r>
            <w:r>
              <w:rPr>
                <w:noProof/>
                <w:webHidden/>
              </w:rPr>
              <w:fldChar w:fldCharType="end"/>
            </w:r>
          </w:hyperlink>
        </w:p>
        <w:p w14:paraId="54FD5D47" w14:textId="26F1EF59" w:rsidR="00045209" w:rsidRDefault="00045209">
          <w:pPr>
            <w:pStyle w:val="TOC3"/>
            <w:tabs>
              <w:tab w:val="right" w:leader="dot" w:pos="9350"/>
            </w:tabs>
            <w:rPr>
              <w:rFonts w:asciiTheme="minorHAnsi" w:eastAsiaTheme="minorEastAsia" w:hAnsiTheme="minorHAnsi"/>
              <w:noProof/>
            </w:rPr>
          </w:pPr>
          <w:hyperlink w:anchor="_Toc215931895" w:history="1">
            <w:r w:rsidRPr="00C0013B">
              <w:rPr>
                <w:rStyle w:val="Hyperlink"/>
                <w:noProof/>
              </w:rPr>
              <w:t>FED – Section G – Functional Status – Coding</w:t>
            </w:r>
            <w:r>
              <w:rPr>
                <w:noProof/>
                <w:webHidden/>
              </w:rPr>
              <w:tab/>
            </w:r>
            <w:r>
              <w:rPr>
                <w:noProof/>
                <w:webHidden/>
              </w:rPr>
              <w:fldChar w:fldCharType="begin"/>
            </w:r>
            <w:r>
              <w:rPr>
                <w:noProof/>
                <w:webHidden/>
              </w:rPr>
              <w:instrText xml:space="preserve"> PAGEREF _Toc215931895 \h </w:instrText>
            </w:r>
            <w:r>
              <w:rPr>
                <w:noProof/>
                <w:webHidden/>
              </w:rPr>
            </w:r>
            <w:r>
              <w:rPr>
                <w:noProof/>
                <w:webHidden/>
              </w:rPr>
              <w:fldChar w:fldCharType="separate"/>
            </w:r>
            <w:r>
              <w:rPr>
                <w:noProof/>
                <w:webHidden/>
              </w:rPr>
              <w:t>30</w:t>
            </w:r>
            <w:r>
              <w:rPr>
                <w:noProof/>
                <w:webHidden/>
              </w:rPr>
              <w:fldChar w:fldCharType="end"/>
            </w:r>
          </w:hyperlink>
        </w:p>
        <w:p w14:paraId="16F0546C" w14:textId="56EB1A01" w:rsidR="00045209" w:rsidRDefault="00045209">
          <w:pPr>
            <w:pStyle w:val="TOC3"/>
            <w:tabs>
              <w:tab w:val="right" w:leader="dot" w:pos="9350"/>
            </w:tabs>
            <w:rPr>
              <w:rFonts w:asciiTheme="minorHAnsi" w:eastAsiaTheme="minorEastAsia" w:hAnsiTheme="minorHAnsi"/>
              <w:noProof/>
            </w:rPr>
          </w:pPr>
          <w:hyperlink w:anchor="_Toc215931896" w:history="1">
            <w:r w:rsidRPr="00C0013B">
              <w:rPr>
                <w:rStyle w:val="Hyperlink"/>
                <w:noProof/>
              </w:rPr>
              <w:t>FED – Section G – Functional Status – Meal Prep</w:t>
            </w:r>
            <w:r>
              <w:rPr>
                <w:noProof/>
                <w:webHidden/>
              </w:rPr>
              <w:tab/>
            </w:r>
            <w:r>
              <w:rPr>
                <w:noProof/>
                <w:webHidden/>
              </w:rPr>
              <w:fldChar w:fldCharType="begin"/>
            </w:r>
            <w:r>
              <w:rPr>
                <w:noProof/>
                <w:webHidden/>
              </w:rPr>
              <w:instrText xml:space="preserve"> PAGEREF _Toc215931896 \h </w:instrText>
            </w:r>
            <w:r>
              <w:rPr>
                <w:noProof/>
                <w:webHidden/>
              </w:rPr>
            </w:r>
            <w:r>
              <w:rPr>
                <w:noProof/>
                <w:webHidden/>
              </w:rPr>
              <w:fldChar w:fldCharType="separate"/>
            </w:r>
            <w:r>
              <w:rPr>
                <w:noProof/>
                <w:webHidden/>
              </w:rPr>
              <w:t>30</w:t>
            </w:r>
            <w:r>
              <w:rPr>
                <w:noProof/>
                <w:webHidden/>
              </w:rPr>
              <w:fldChar w:fldCharType="end"/>
            </w:r>
          </w:hyperlink>
        </w:p>
        <w:p w14:paraId="1CE36EBB" w14:textId="13D643B8" w:rsidR="00045209" w:rsidRDefault="00045209">
          <w:pPr>
            <w:pStyle w:val="TOC3"/>
            <w:tabs>
              <w:tab w:val="right" w:leader="dot" w:pos="9350"/>
            </w:tabs>
            <w:rPr>
              <w:rFonts w:asciiTheme="minorHAnsi" w:eastAsiaTheme="minorEastAsia" w:hAnsiTheme="minorHAnsi"/>
              <w:noProof/>
            </w:rPr>
          </w:pPr>
          <w:hyperlink w:anchor="_Toc215931897" w:history="1">
            <w:r w:rsidRPr="00C0013B">
              <w:rPr>
                <w:rStyle w:val="Hyperlink"/>
                <w:noProof/>
              </w:rPr>
              <w:t>Functional Status – Housework</w:t>
            </w:r>
            <w:r>
              <w:rPr>
                <w:noProof/>
                <w:webHidden/>
              </w:rPr>
              <w:tab/>
            </w:r>
            <w:r>
              <w:rPr>
                <w:noProof/>
                <w:webHidden/>
              </w:rPr>
              <w:fldChar w:fldCharType="begin"/>
            </w:r>
            <w:r>
              <w:rPr>
                <w:noProof/>
                <w:webHidden/>
              </w:rPr>
              <w:instrText xml:space="preserve"> PAGEREF _Toc215931897 \h </w:instrText>
            </w:r>
            <w:r>
              <w:rPr>
                <w:noProof/>
                <w:webHidden/>
              </w:rPr>
            </w:r>
            <w:r>
              <w:rPr>
                <w:noProof/>
                <w:webHidden/>
              </w:rPr>
              <w:fldChar w:fldCharType="separate"/>
            </w:r>
            <w:r>
              <w:rPr>
                <w:noProof/>
                <w:webHidden/>
              </w:rPr>
              <w:t>32</w:t>
            </w:r>
            <w:r>
              <w:rPr>
                <w:noProof/>
                <w:webHidden/>
              </w:rPr>
              <w:fldChar w:fldCharType="end"/>
            </w:r>
          </w:hyperlink>
        </w:p>
        <w:p w14:paraId="5C1BB7F3" w14:textId="3667FB14" w:rsidR="00045209" w:rsidRDefault="00045209">
          <w:pPr>
            <w:pStyle w:val="TOC3"/>
            <w:tabs>
              <w:tab w:val="right" w:leader="dot" w:pos="9350"/>
            </w:tabs>
            <w:rPr>
              <w:rFonts w:asciiTheme="minorHAnsi" w:eastAsiaTheme="minorEastAsia" w:hAnsiTheme="minorHAnsi"/>
              <w:noProof/>
            </w:rPr>
          </w:pPr>
          <w:hyperlink w:anchor="_Toc215931898" w:history="1">
            <w:r w:rsidRPr="00C0013B">
              <w:rPr>
                <w:rStyle w:val="Hyperlink"/>
                <w:noProof/>
              </w:rPr>
              <w:t>Functional Status – Finances</w:t>
            </w:r>
            <w:r>
              <w:rPr>
                <w:noProof/>
                <w:webHidden/>
              </w:rPr>
              <w:tab/>
            </w:r>
            <w:r>
              <w:rPr>
                <w:noProof/>
                <w:webHidden/>
              </w:rPr>
              <w:fldChar w:fldCharType="begin"/>
            </w:r>
            <w:r>
              <w:rPr>
                <w:noProof/>
                <w:webHidden/>
              </w:rPr>
              <w:instrText xml:space="preserve"> PAGEREF _Toc215931898 \h </w:instrText>
            </w:r>
            <w:r>
              <w:rPr>
                <w:noProof/>
                <w:webHidden/>
              </w:rPr>
            </w:r>
            <w:r>
              <w:rPr>
                <w:noProof/>
                <w:webHidden/>
              </w:rPr>
              <w:fldChar w:fldCharType="separate"/>
            </w:r>
            <w:r>
              <w:rPr>
                <w:noProof/>
                <w:webHidden/>
              </w:rPr>
              <w:t>34</w:t>
            </w:r>
            <w:r>
              <w:rPr>
                <w:noProof/>
                <w:webHidden/>
              </w:rPr>
              <w:fldChar w:fldCharType="end"/>
            </w:r>
          </w:hyperlink>
        </w:p>
        <w:p w14:paraId="2E6CD213" w14:textId="08C29F17" w:rsidR="00045209" w:rsidRDefault="00045209">
          <w:pPr>
            <w:pStyle w:val="TOC3"/>
            <w:tabs>
              <w:tab w:val="right" w:leader="dot" w:pos="9350"/>
            </w:tabs>
            <w:rPr>
              <w:rFonts w:asciiTheme="minorHAnsi" w:eastAsiaTheme="minorEastAsia" w:hAnsiTheme="minorHAnsi"/>
              <w:noProof/>
            </w:rPr>
          </w:pPr>
          <w:hyperlink w:anchor="_Toc215931899" w:history="1">
            <w:r w:rsidRPr="00C0013B">
              <w:rPr>
                <w:rStyle w:val="Hyperlink"/>
                <w:noProof/>
              </w:rPr>
              <w:t>Functional Status – Medication</w:t>
            </w:r>
            <w:r>
              <w:rPr>
                <w:noProof/>
                <w:webHidden/>
              </w:rPr>
              <w:tab/>
            </w:r>
            <w:r>
              <w:rPr>
                <w:noProof/>
                <w:webHidden/>
              </w:rPr>
              <w:fldChar w:fldCharType="begin"/>
            </w:r>
            <w:r>
              <w:rPr>
                <w:noProof/>
                <w:webHidden/>
              </w:rPr>
              <w:instrText xml:space="preserve"> PAGEREF _Toc215931899 \h </w:instrText>
            </w:r>
            <w:r>
              <w:rPr>
                <w:noProof/>
                <w:webHidden/>
              </w:rPr>
            </w:r>
            <w:r>
              <w:rPr>
                <w:noProof/>
                <w:webHidden/>
              </w:rPr>
              <w:fldChar w:fldCharType="separate"/>
            </w:r>
            <w:r>
              <w:rPr>
                <w:noProof/>
                <w:webHidden/>
              </w:rPr>
              <w:t>36</w:t>
            </w:r>
            <w:r>
              <w:rPr>
                <w:noProof/>
                <w:webHidden/>
              </w:rPr>
              <w:fldChar w:fldCharType="end"/>
            </w:r>
          </w:hyperlink>
        </w:p>
        <w:p w14:paraId="1FC3F2DA" w14:textId="083573FC" w:rsidR="00045209" w:rsidRDefault="00045209">
          <w:pPr>
            <w:pStyle w:val="TOC2"/>
            <w:tabs>
              <w:tab w:val="right" w:leader="dot" w:pos="9350"/>
            </w:tabs>
            <w:rPr>
              <w:rFonts w:asciiTheme="minorHAnsi" w:eastAsiaTheme="minorEastAsia" w:hAnsiTheme="minorHAnsi"/>
              <w:noProof/>
            </w:rPr>
          </w:pPr>
          <w:hyperlink w:anchor="_Toc215931900" w:history="1">
            <w:r w:rsidRPr="00C0013B">
              <w:rPr>
                <w:rStyle w:val="Hyperlink"/>
                <w:noProof/>
              </w:rPr>
              <w:t>FED Determination Scoring Matrix</w:t>
            </w:r>
            <w:r>
              <w:rPr>
                <w:noProof/>
                <w:webHidden/>
              </w:rPr>
              <w:tab/>
            </w:r>
            <w:r>
              <w:rPr>
                <w:noProof/>
                <w:webHidden/>
              </w:rPr>
              <w:fldChar w:fldCharType="begin"/>
            </w:r>
            <w:r>
              <w:rPr>
                <w:noProof/>
                <w:webHidden/>
              </w:rPr>
              <w:instrText xml:space="preserve"> PAGEREF _Toc215931900 \h </w:instrText>
            </w:r>
            <w:r>
              <w:rPr>
                <w:noProof/>
                <w:webHidden/>
              </w:rPr>
            </w:r>
            <w:r>
              <w:rPr>
                <w:noProof/>
                <w:webHidden/>
              </w:rPr>
              <w:fldChar w:fldCharType="separate"/>
            </w:r>
            <w:r>
              <w:rPr>
                <w:noProof/>
                <w:webHidden/>
              </w:rPr>
              <w:t>37</w:t>
            </w:r>
            <w:r>
              <w:rPr>
                <w:noProof/>
                <w:webHidden/>
              </w:rPr>
              <w:fldChar w:fldCharType="end"/>
            </w:r>
          </w:hyperlink>
        </w:p>
        <w:p w14:paraId="3B4867C4" w14:textId="2DD18A87" w:rsidR="00045209" w:rsidRDefault="00045209">
          <w:pPr>
            <w:pStyle w:val="TOC3"/>
            <w:tabs>
              <w:tab w:val="right" w:leader="dot" w:pos="9350"/>
            </w:tabs>
            <w:rPr>
              <w:rFonts w:asciiTheme="minorHAnsi" w:eastAsiaTheme="minorEastAsia" w:hAnsiTheme="minorHAnsi"/>
              <w:noProof/>
            </w:rPr>
          </w:pPr>
          <w:hyperlink w:anchor="_Toc215931901" w:history="1">
            <w:r w:rsidRPr="00C0013B">
              <w:rPr>
                <w:rStyle w:val="Hyperlink"/>
                <w:noProof/>
              </w:rPr>
              <w:t>FED Scoring</w:t>
            </w:r>
            <w:r>
              <w:rPr>
                <w:noProof/>
                <w:webHidden/>
              </w:rPr>
              <w:tab/>
            </w:r>
            <w:r>
              <w:rPr>
                <w:noProof/>
                <w:webHidden/>
              </w:rPr>
              <w:fldChar w:fldCharType="begin"/>
            </w:r>
            <w:r>
              <w:rPr>
                <w:noProof/>
                <w:webHidden/>
              </w:rPr>
              <w:instrText xml:space="preserve"> PAGEREF _Toc215931901 \h </w:instrText>
            </w:r>
            <w:r>
              <w:rPr>
                <w:noProof/>
                <w:webHidden/>
              </w:rPr>
            </w:r>
            <w:r>
              <w:rPr>
                <w:noProof/>
                <w:webHidden/>
              </w:rPr>
              <w:fldChar w:fldCharType="separate"/>
            </w:r>
            <w:r>
              <w:rPr>
                <w:noProof/>
                <w:webHidden/>
              </w:rPr>
              <w:t>38</w:t>
            </w:r>
            <w:r>
              <w:rPr>
                <w:noProof/>
                <w:webHidden/>
              </w:rPr>
              <w:fldChar w:fldCharType="end"/>
            </w:r>
          </w:hyperlink>
        </w:p>
        <w:p w14:paraId="63C1AA7C" w14:textId="7EC96DD8" w:rsidR="00045209" w:rsidRDefault="00045209">
          <w:pPr>
            <w:pStyle w:val="TOC3"/>
            <w:tabs>
              <w:tab w:val="right" w:leader="dot" w:pos="9350"/>
            </w:tabs>
            <w:rPr>
              <w:rFonts w:asciiTheme="minorHAnsi" w:eastAsiaTheme="minorEastAsia" w:hAnsiTheme="minorHAnsi"/>
              <w:noProof/>
            </w:rPr>
          </w:pPr>
          <w:hyperlink w:anchor="_Toc215931902" w:history="1">
            <w:r w:rsidRPr="00C0013B">
              <w:rPr>
                <w:rStyle w:val="Hyperlink"/>
                <w:noProof/>
              </w:rPr>
              <w:t>FED Scoring Notes</w:t>
            </w:r>
            <w:r>
              <w:rPr>
                <w:noProof/>
                <w:webHidden/>
              </w:rPr>
              <w:tab/>
            </w:r>
            <w:r>
              <w:rPr>
                <w:noProof/>
                <w:webHidden/>
              </w:rPr>
              <w:fldChar w:fldCharType="begin"/>
            </w:r>
            <w:r>
              <w:rPr>
                <w:noProof/>
                <w:webHidden/>
              </w:rPr>
              <w:instrText xml:space="preserve"> PAGEREF _Toc215931902 \h </w:instrText>
            </w:r>
            <w:r>
              <w:rPr>
                <w:noProof/>
                <w:webHidden/>
              </w:rPr>
            </w:r>
            <w:r>
              <w:rPr>
                <w:noProof/>
                <w:webHidden/>
              </w:rPr>
              <w:fldChar w:fldCharType="separate"/>
            </w:r>
            <w:r>
              <w:rPr>
                <w:noProof/>
                <w:webHidden/>
              </w:rPr>
              <w:t>38</w:t>
            </w:r>
            <w:r>
              <w:rPr>
                <w:noProof/>
                <w:webHidden/>
              </w:rPr>
              <w:fldChar w:fldCharType="end"/>
            </w:r>
          </w:hyperlink>
        </w:p>
        <w:p w14:paraId="17B6408C" w14:textId="49132BCE" w:rsidR="00045209" w:rsidRDefault="00045209">
          <w:pPr>
            <w:pStyle w:val="TOC2"/>
            <w:tabs>
              <w:tab w:val="right" w:leader="dot" w:pos="9350"/>
            </w:tabs>
            <w:rPr>
              <w:rFonts w:asciiTheme="minorHAnsi" w:eastAsiaTheme="minorEastAsia" w:hAnsiTheme="minorHAnsi"/>
              <w:noProof/>
            </w:rPr>
          </w:pPr>
          <w:hyperlink w:anchor="_Toc215931903" w:history="1">
            <w:r w:rsidRPr="00C0013B">
              <w:rPr>
                <w:rStyle w:val="Hyperlink"/>
                <w:noProof/>
              </w:rPr>
              <w:t>Approaching Assessments</w:t>
            </w:r>
            <w:r>
              <w:rPr>
                <w:noProof/>
                <w:webHidden/>
              </w:rPr>
              <w:tab/>
            </w:r>
            <w:r>
              <w:rPr>
                <w:noProof/>
                <w:webHidden/>
              </w:rPr>
              <w:fldChar w:fldCharType="begin"/>
            </w:r>
            <w:r>
              <w:rPr>
                <w:noProof/>
                <w:webHidden/>
              </w:rPr>
              <w:instrText xml:space="preserve"> PAGEREF _Toc215931903 \h </w:instrText>
            </w:r>
            <w:r>
              <w:rPr>
                <w:noProof/>
                <w:webHidden/>
              </w:rPr>
            </w:r>
            <w:r>
              <w:rPr>
                <w:noProof/>
                <w:webHidden/>
              </w:rPr>
              <w:fldChar w:fldCharType="separate"/>
            </w:r>
            <w:r>
              <w:rPr>
                <w:noProof/>
                <w:webHidden/>
              </w:rPr>
              <w:t>39</w:t>
            </w:r>
            <w:r>
              <w:rPr>
                <w:noProof/>
                <w:webHidden/>
              </w:rPr>
              <w:fldChar w:fldCharType="end"/>
            </w:r>
          </w:hyperlink>
        </w:p>
        <w:p w14:paraId="45D70B1C" w14:textId="10BA5554" w:rsidR="00045209" w:rsidRDefault="00045209">
          <w:pPr>
            <w:pStyle w:val="TOC3"/>
            <w:tabs>
              <w:tab w:val="right" w:leader="dot" w:pos="9350"/>
            </w:tabs>
            <w:rPr>
              <w:rFonts w:asciiTheme="minorHAnsi" w:eastAsiaTheme="minorEastAsia" w:hAnsiTheme="minorHAnsi"/>
              <w:noProof/>
            </w:rPr>
          </w:pPr>
          <w:hyperlink w:anchor="_Toc215931904" w:history="1">
            <w:r w:rsidRPr="00C0013B">
              <w:rPr>
                <w:rStyle w:val="Hyperlink"/>
                <w:noProof/>
              </w:rPr>
              <w:t>Approaching Assessment Administration</w:t>
            </w:r>
            <w:r>
              <w:rPr>
                <w:noProof/>
                <w:webHidden/>
              </w:rPr>
              <w:tab/>
            </w:r>
            <w:r>
              <w:rPr>
                <w:noProof/>
                <w:webHidden/>
              </w:rPr>
              <w:fldChar w:fldCharType="begin"/>
            </w:r>
            <w:r>
              <w:rPr>
                <w:noProof/>
                <w:webHidden/>
              </w:rPr>
              <w:instrText xml:space="preserve"> PAGEREF _Toc215931904 \h </w:instrText>
            </w:r>
            <w:r>
              <w:rPr>
                <w:noProof/>
                <w:webHidden/>
              </w:rPr>
            </w:r>
            <w:r>
              <w:rPr>
                <w:noProof/>
                <w:webHidden/>
              </w:rPr>
              <w:fldChar w:fldCharType="separate"/>
            </w:r>
            <w:r>
              <w:rPr>
                <w:noProof/>
                <w:webHidden/>
              </w:rPr>
              <w:t>39</w:t>
            </w:r>
            <w:r>
              <w:rPr>
                <w:noProof/>
                <w:webHidden/>
              </w:rPr>
              <w:fldChar w:fldCharType="end"/>
            </w:r>
          </w:hyperlink>
        </w:p>
        <w:p w14:paraId="65D1F940" w14:textId="52C49E41" w:rsidR="00045209" w:rsidRDefault="00045209">
          <w:pPr>
            <w:pStyle w:val="TOC3"/>
            <w:tabs>
              <w:tab w:val="right" w:leader="dot" w:pos="9350"/>
            </w:tabs>
            <w:rPr>
              <w:rFonts w:asciiTheme="minorHAnsi" w:eastAsiaTheme="minorEastAsia" w:hAnsiTheme="minorHAnsi"/>
              <w:noProof/>
            </w:rPr>
          </w:pPr>
          <w:hyperlink w:anchor="_Toc215931905" w:history="1">
            <w:r w:rsidRPr="00C0013B">
              <w:rPr>
                <w:rStyle w:val="Hyperlink"/>
                <w:noProof/>
              </w:rPr>
              <w:t>InterRAI Home Care Instrument</w:t>
            </w:r>
            <w:r>
              <w:rPr>
                <w:noProof/>
                <w:webHidden/>
              </w:rPr>
              <w:tab/>
            </w:r>
            <w:r>
              <w:rPr>
                <w:noProof/>
                <w:webHidden/>
              </w:rPr>
              <w:fldChar w:fldCharType="begin"/>
            </w:r>
            <w:r>
              <w:rPr>
                <w:noProof/>
                <w:webHidden/>
              </w:rPr>
              <w:instrText xml:space="preserve"> PAGEREF _Toc215931905 \h </w:instrText>
            </w:r>
            <w:r>
              <w:rPr>
                <w:noProof/>
                <w:webHidden/>
              </w:rPr>
            </w:r>
            <w:r>
              <w:rPr>
                <w:noProof/>
                <w:webHidden/>
              </w:rPr>
              <w:fldChar w:fldCharType="separate"/>
            </w:r>
            <w:r>
              <w:rPr>
                <w:noProof/>
                <w:webHidden/>
              </w:rPr>
              <w:t>39</w:t>
            </w:r>
            <w:r>
              <w:rPr>
                <w:noProof/>
                <w:webHidden/>
              </w:rPr>
              <w:fldChar w:fldCharType="end"/>
            </w:r>
          </w:hyperlink>
        </w:p>
        <w:p w14:paraId="43540269" w14:textId="55444B7B" w:rsidR="00045209" w:rsidRDefault="00045209">
          <w:pPr>
            <w:pStyle w:val="TOC3"/>
            <w:tabs>
              <w:tab w:val="right" w:leader="dot" w:pos="9350"/>
            </w:tabs>
            <w:rPr>
              <w:rFonts w:asciiTheme="minorHAnsi" w:eastAsiaTheme="minorEastAsia" w:hAnsiTheme="minorHAnsi"/>
              <w:noProof/>
            </w:rPr>
          </w:pPr>
          <w:hyperlink w:anchor="_Toc215931906" w:history="1">
            <w:r w:rsidRPr="00C0013B">
              <w:rPr>
                <w:rStyle w:val="Hyperlink"/>
                <w:noProof/>
              </w:rPr>
              <w:t>Assessment Administration</w:t>
            </w:r>
            <w:r>
              <w:rPr>
                <w:noProof/>
                <w:webHidden/>
              </w:rPr>
              <w:tab/>
            </w:r>
            <w:r>
              <w:rPr>
                <w:noProof/>
                <w:webHidden/>
              </w:rPr>
              <w:fldChar w:fldCharType="begin"/>
            </w:r>
            <w:r>
              <w:rPr>
                <w:noProof/>
                <w:webHidden/>
              </w:rPr>
              <w:instrText xml:space="preserve"> PAGEREF _Toc215931906 \h </w:instrText>
            </w:r>
            <w:r>
              <w:rPr>
                <w:noProof/>
                <w:webHidden/>
              </w:rPr>
            </w:r>
            <w:r>
              <w:rPr>
                <w:noProof/>
                <w:webHidden/>
              </w:rPr>
              <w:fldChar w:fldCharType="separate"/>
            </w:r>
            <w:r>
              <w:rPr>
                <w:noProof/>
                <w:webHidden/>
              </w:rPr>
              <w:t>39</w:t>
            </w:r>
            <w:r>
              <w:rPr>
                <w:noProof/>
                <w:webHidden/>
              </w:rPr>
              <w:fldChar w:fldCharType="end"/>
            </w:r>
          </w:hyperlink>
        </w:p>
        <w:p w14:paraId="08ED6125" w14:textId="7095CA09" w:rsidR="00045209" w:rsidRDefault="00045209">
          <w:pPr>
            <w:pStyle w:val="TOC2"/>
            <w:tabs>
              <w:tab w:val="right" w:leader="dot" w:pos="9350"/>
            </w:tabs>
            <w:rPr>
              <w:rFonts w:asciiTheme="minorHAnsi" w:eastAsiaTheme="minorEastAsia" w:hAnsiTheme="minorHAnsi"/>
              <w:noProof/>
            </w:rPr>
          </w:pPr>
          <w:hyperlink w:anchor="_Toc215931907" w:history="1">
            <w:r w:rsidRPr="00C0013B">
              <w:rPr>
                <w:rStyle w:val="Hyperlink"/>
                <w:noProof/>
              </w:rPr>
              <w:t>Knowledge Check</w:t>
            </w:r>
            <w:r>
              <w:rPr>
                <w:noProof/>
                <w:webHidden/>
              </w:rPr>
              <w:tab/>
            </w:r>
            <w:r>
              <w:rPr>
                <w:noProof/>
                <w:webHidden/>
              </w:rPr>
              <w:fldChar w:fldCharType="begin"/>
            </w:r>
            <w:r>
              <w:rPr>
                <w:noProof/>
                <w:webHidden/>
              </w:rPr>
              <w:instrText xml:space="preserve"> PAGEREF _Toc215931907 \h </w:instrText>
            </w:r>
            <w:r>
              <w:rPr>
                <w:noProof/>
                <w:webHidden/>
              </w:rPr>
            </w:r>
            <w:r>
              <w:rPr>
                <w:noProof/>
                <w:webHidden/>
              </w:rPr>
              <w:fldChar w:fldCharType="separate"/>
            </w:r>
            <w:r>
              <w:rPr>
                <w:noProof/>
                <w:webHidden/>
              </w:rPr>
              <w:t>40</w:t>
            </w:r>
            <w:r>
              <w:rPr>
                <w:noProof/>
                <w:webHidden/>
              </w:rPr>
              <w:fldChar w:fldCharType="end"/>
            </w:r>
          </w:hyperlink>
        </w:p>
        <w:p w14:paraId="15B48A9B" w14:textId="3E71CEEF" w:rsidR="00045209" w:rsidRDefault="00045209">
          <w:pPr>
            <w:pStyle w:val="TOC2"/>
            <w:tabs>
              <w:tab w:val="right" w:leader="dot" w:pos="9350"/>
            </w:tabs>
            <w:rPr>
              <w:rFonts w:asciiTheme="minorHAnsi" w:eastAsiaTheme="minorEastAsia" w:hAnsiTheme="minorHAnsi"/>
              <w:noProof/>
            </w:rPr>
          </w:pPr>
          <w:hyperlink w:anchor="_Toc215931908" w:history="1">
            <w:r w:rsidRPr="00C0013B">
              <w:rPr>
                <w:rStyle w:val="Hyperlink"/>
                <w:noProof/>
              </w:rPr>
              <w:t>Conclusion &amp; Next Steps</w:t>
            </w:r>
            <w:r>
              <w:rPr>
                <w:noProof/>
                <w:webHidden/>
              </w:rPr>
              <w:tab/>
            </w:r>
            <w:r>
              <w:rPr>
                <w:noProof/>
                <w:webHidden/>
              </w:rPr>
              <w:fldChar w:fldCharType="begin"/>
            </w:r>
            <w:r>
              <w:rPr>
                <w:noProof/>
                <w:webHidden/>
              </w:rPr>
              <w:instrText xml:space="preserve"> PAGEREF _Toc215931908 \h </w:instrText>
            </w:r>
            <w:r>
              <w:rPr>
                <w:noProof/>
                <w:webHidden/>
              </w:rPr>
            </w:r>
            <w:r>
              <w:rPr>
                <w:noProof/>
                <w:webHidden/>
              </w:rPr>
              <w:fldChar w:fldCharType="separate"/>
            </w:r>
            <w:r>
              <w:rPr>
                <w:noProof/>
                <w:webHidden/>
              </w:rPr>
              <w:t>41</w:t>
            </w:r>
            <w:r>
              <w:rPr>
                <w:noProof/>
                <w:webHidden/>
              </w:rPr>
              <w:fldChar w:fldCharType="end"/>
            </w:r>
          </w:hyperlink>
        </w:p>
        <w:p w14:paraId="7D34B86C" w14:textId="4A361EB2" w:rsidR="004D7AD3" w:rsidRPr="00D734B7" w:rsidRDefault="004D7AD3">
          <w:pPr>
            <w:rPr>
              <w:color w:val="000000" w:themeColor="text1"/>
            </w:rPr>
          </w:pPr>
          <w:r w:rsidRPr="00D734B7">
            <w:rPr>
              <w:b/>
              <w:bCs/>
              <w:noProof/>
              <w:color w:val="000000" w:themeColor="text1"/>
            </w:rPr>
            <w:fldChar w:fldCharType="end"/>
          </w:r>
        </w:p>
      </w:sdtContent>
    </w:sdt>
    <w:p w14:paraId="3C4440EF" w14:textId="0679FD05" w:rsidR="00733F24" w:rsidRPr="00D734B7" w:rsidRDefault="00733F24">
      <w:pPr>
        <w:spacing w:before="0" w:after="160" w:line="278" w:lineRule="auto"/>
        <w:rPr>
          <w:color w:val="000000" w:themeColor="text1"/>
        </w:rPr>
      </w:pPr>
      <w:r w:rsidRPr="00D734B7">
        <w:rPr>
          <w:color w:val="000000" w:themeColor="text1"/>
        </w:rPr>
        <w:br w:type="page"/>
      </w:r>
    </w:p>
    <w:p w14:paraId="213915E3" w14:textId="0ABDE249" w:rsidR="00A615A0" w:rsidRPr="00D734B7" w:rsidRDefault="00E1768B">
      <w:pPr>
        <w:pStyle w:val="Heading2"/>
        <w:rPr>
          <w:color w:val="000000" w:themeColor="text1"/>
        </w:rPr>
      </w:pPr>
      <w:bookmarkStart w:id="1" w:name="_Toc215931841"/>
      <w:r w:rsidRPr="00D734B7">
        <w:rPr>
          <w:color w:val="000000" w:themeColor="text1"/>
        </w:rPr>
        <w:lastRenderedPageBreak/>
        <w:t>Welcome</w:t>
      </w:r>
      <w:bookmarkEnd w:id="1"/>
    </w:p>
    <w:p w14:paraId="501C0AE8"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Welcome to the Office of Long-Term Living (OLTL) Pennsylvania Assessments Version 9 Review Training, Functional Eligibility Determination (FED) and </w:t>
      </w:r>
      <w:proofErr w:type="spellStart"/>
      <w:r w:rsidRPr="00D734B7">
        <w:rPr>
          <w:color w:val="000000" w:themeColor="text1"/>
        </w:rPr>
        <w:t>interRAI</w:t>
      </w:r>
      <w:proofErr w:type="spellEnd"/>
      <w:r w:rsidRPr="00D734B7">
        <w:rPr>
          <w:color w:val="000000" w:themeColor="text1"/>
        </w:rPr>
        <w:t xml:space="preserve"> Comprehensive Needs Assessment Review.</w:t>
      </w:r>
    </w:p>
    <w:p w14:paraId="201470E5" w14:textId="2D35872D" w:rsidR="00A615A0" w:rsidRPr="00D734B7" w:rsidRDefault="00E1768B" w:rsidP="00603313">
      <w:pPr>
        <w:pStyle w:val="Heading3"/>
        <w:rPr>
          <w:color w:val="000000" w:themeColor="text1"/>
        </w:rPr>
      </w:pPr>
      <w:bookmarkStart w:id="2" w:name="_Toc215931842"/>
      <w:r w:rsidRPr="00D734B7">
        <w:rPr>
          <w:color w:val="000000" w:themeColor="text1"/>
        </w:rPr>
        <w:t>Certificate</w:t>
      </w:r>
      <w:bookmarkEnd w:id="2"/>
    </w:p>
    <w:p w14:paraId="2E924A80" w14:textId="5686E825"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Upon completing this course, you will be prompted to register your completion. To do this, click the "Register Completion" button and fill out the online form. After submitting the form, click the “Click here to print your certificate of completion” link to generate your certificate. Then click the “Print” link to access a print-friendly version of your certificate.</w:t>
      </w:r>
    </w:p>
    <w:p w14:paraId="79F8907D" w14:textId="3671F174" w:rsidR="00A615A0" w:rsidRPr="00D734B7" w:rsidRDefault="00E1768B" w:rsidP="008C4CC3">
      <w:pPr>
        <w:pStyle w:val="Heading3"/>
        <w:rPr>
          <w:color w:val="000000" w:themeColor="text1"/>
        </w:rPr>
      </w:pPr>
      <w:bookmarkStart w:id="3" w:name="_Toc215931843"/>
      <w:r w:rsidRPr="00D734B7">
        <w:rPr>
          <w:color w:val="000000" w:themeColor="text1"/>
        </w:rPr>
        <w:t>Agenda</w:t>
      </w:r>
      <w:bookmarkEnd w:id="3"/>
    </w:p>
    <w:p w14:paraId="6D75995C" w14:textId="143174D1" w:rsidR="00E1768B" w:rsidRPr="00D734B7" w:rsidRDefault="00E1768B" w:rsidP="00945CAA">
      <w:pPr>
        <w:rPr>
          <w:color w:val="000000" w:themeColor="text1"/>
        </w:rPr>
      </w:pPr>
      <w:r w:rsidRPr="00D734B7">
        <w:rPr>
          <w:color w:val="000000" w:themeColor="text1"/>
        </w:rPr>
        <w:t>Here’s our roadmap:</w:t>
      </w:r>
    </w:p>
    <w:p w14:paraId="5389581B" w14:textId="686BF2A5"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We’ll review the connections between the </w:t>
      </w:r>
      <w:r w:rsidR="005313FE" w:rsidRPr="00D734B7">
        <w:rPr>
          <w:color w:val="000000" w:themeColor="text1"/>
        </w:rPr>
        <w:t>FED</w:t>
      </w:r>
      <w:r w:rsidRPr="00D734B7">
        <w:rPr>
          <w:color w:val="000000" w:themeColor="text1"/>
        </w:rPr>
        <w:t xml:space="preserve"> and the </w:t>
      </w:r>
      <w:proofErr w:type="spellStart"/>
      <w:r w:rsidRPr="00D734B7">
        <w:rPr>
          <w:color w:val="000000" w:themeColor="text1"/>
        </w:rPr>
        <w:t>interRAI</w:t>
      </w:r>
      <w:proofErr w:type="spellEnd"/>
      <w:r w:rsidRPr="00D734B7">
        <w:rPr>
          <w:color w:val="000000" w:themeColor="text1"/>
        </w:rPr>
        <w:t xml:space="preserve"> Comprehensive Needs Assessment, discuss specific elements of both tools, and reinforce approaches to administering assessments.</w:t>
      </w:r>
    </w:p>
    <w:p w14:paraId="16FDFC04" w14:textId="25133056" w:rsidR="00A615A0" w:rsidRPr="00D734B7" w:rsidRDefault="00E1768B" w:rsidP="008C4CC3">
      <w:pPr>
        <w:pStyle w:val="Heading3"/>
        <w:rPr>
          <w:color w:val="000000" w:themeColor="text1"/>
        </w:rPr>
      </w:pPr>
      <w:bookmarkStart w:id="4" w:name="_Toc215931844"/>
      <w:r w:rsidRPr="00D734B7">
        <w:rPr>
          <w:color w:val="000000" w:themeColor="text1"/>
        </w:rPr>
        <w:t>Goals</w:t>
      </w:r>
      <w:bookmarkEnd w:id="4"/>
    </w:p>
    <w:p w14:paraId="4B9D7866" w14:textId="57D3B190" w:rsidR="00E1768B" w:rsidRPr="00D734B7" w:rsidRDefault="00E1768B" w:rsidP="00945CAA">
      <w:pPr>
        <w:rPr>
          <w:color w:val="000000" w:themeColor="text1"/>
        </w:rPr>
      </w:pPr>
      <w:r w:rsidRPr="00D734B7">
        <w:rPr>
          <w:color w:val="000000" w:themeColor="text1"/>
        </w:rPr>
        <w:t>Our goals are clear:</w:t>
      </w:r>
    </w:p>
    <w:p w14:paraId="7320C588"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Ensure accuracy and alignment across all assessments, increase assessor confidence and consistency at every stage, and promote a shared understanding of Pennsylvania’s definitions, coding practices, and eligibility criteria.</w:t>
      </w:r>
    </w:p>
    <w:p w14:paraId="796C1825" w14:textId="5C525DED" w:rsidR="00A615A0" w:rsidRPr="00D734B7" w:rsidRDefault="00E1768B" w:rsidP="008C4CC3">
      <w:pPr>
        <w:pStyle w:val="Heading3"/>
        <w:rPr>
          <w:color w:val="000000" w:themeColor="text1"/>
        </w:rPr>
      </w:pPr>
      <w:bookmarkStart w:id="5" w:name="_Toc215931845"/>
      <w:r w:rsidRPr="00D734B7">
        <w:rPr>
          <w:color w:val="000000" w:themeColor="text1"/>
        </w:rPr>
        <w:t>Why?</w:t>
      </w:r>
      <w:bookmarkEnd w:id="5"/>
    </w:p>
    <w:p w14:paraId="38B7AC79" w14:textId="1CDF09AD" w:rsidR="00E1768B" w:rsidRPr="00D734B7" w:rsidRDefault="00E1768B" w:rsidP="00945CAA">
      <w:pPr>
        <w:rPr>
          <w:color w:val="000000" w:themeColor="text1"/>
        </w:rPr>
      </w:pPr>
      <w:r w:rsidRPr="00D734B7">
        <w:rPr>
          <w:color w:val="000000" w:themeColor="text1"/>
        </w:rPr>
        <w:t>The Office of Long-Term Living developed this training as a review and reset for all assessors across the commonwealth.</w:t>
      </w:r>
    </w:p>
    <w:p w14:paraId="061430F2" w14:textId="0A92EF84"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Across Pennsylvania, more than 2,500 professionals use the </w:t>
      </w:r>
      <w:proofErr w:type="spellStart"/>
      <w:r w:rsidRPr="00D734B7">
        <w:rPr>
          <w:color w:val="000000" w:themeColor="text1"/>
        </w:rPr>
        <w:t>interRAI</w:t>
      </w:r>
      <w:proofErr w:type="spellEnd"/>
      <w:r w:rsidRPr="00D734B7">
        <w:rPr>
          <w:color w:val="000000" w:themeColor="text1"/>
        </w:rPr>
        <w:t xml:space="preserve"> Home Care tool. Over time, large organizations naturally experience what we call </w:t>
      </w:r>
      <w:r w:rsidR="0024189B" w:rsidRPr="00D734B7">
        <w:rPr>
          <w:color w:val="000000" w:themeColor="text1"/>
        </w:rPr>
        <w:t>“</w:t>
      </w:r>
      <w:r w:rsidRPr="00D734B7">
        <w:rPr>
          <w:color w:val="000000" w:themeColor="text1"/>
        </w:rPr>
        <w:t>drift</w:t>
      </w:r>
      <w:r w:rsidR="0024189B" w:rsidRPr="00D734B7">
        <w:rPr>
          <w:color w:val="000000" w:themeColor="text1"/>
        </w:rPr>
        <w:t>”</w:t>
      </w:r>
      <w:r w:rsidRPr="00D734B7">
        <w:rPr>
          <w:color w:val="000000" w:themeColor="text1"/>
        </w:rPr>
        <w:t>—slight differences in how definitions and coding are interpreted. This session is our opportunity to re-align, re-focus, and ensure every assessment reflects a consistent, high-quality standard for the people we serve.</w:t>
      </w:r>
    </w:p>
    <w:p w14:paraId="40B35827" w14:textId="787C8CC8" w:rsidR="00A615A0" w:rsidRPr="00D734B7" w:rsidRDefault="00E1768B" w:rsidP="008C4CC3">
      <w:pPr>
        <w:pStyle w:val="Heading3"/>
        <w:rPr>
          <w:color w:val="000000" w:themeColor="text1"/>
        </w:rPr>
      </w:pPr>
      <w:bookmarkStart w:id="6" w:name="_Toc215931846"/>
      <w:r w:rsidRPr="00D734B7">
        <w:rPr>
          <w:color w:val="000000" w:themeColor="text1"/>
        </w:rPr>
        <w:t>Key Resources</w:t>
      </w:r>
      <w:bookmarkEnd w:id="6"/>
    </w:p>
    <w:p w14:paraId="6C0C1713" w14:textId="7BAF787D"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Before performing assessments, make sure you have access to three key documents: The 2009 Nursing Facility Clinically Eligible (NFCE) Clarification Bulletin, the 2019 OLTL Implementation Bulletin, and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available online at interrai.org. These are your foundations for accurate, defensible assessments.</w:t>
      </w:r>
    </w:p>
    <w:p w14:paraId="34231156" w14:textId="0A75FB07" w:rsidR="00A615A0" w:rsidRPr="00D734B7" w:rsidRDefault="00E1768B" w:rsidP="008C4CC3">
      <w:pPr>
        <w:pStyle w:val="Heading3"/>
        <w:rPr>
          <w:color w:val="000000" w:themeColor="text1"/>
        </w:rPr>
      </w:pPr>
      <w:bookmarkStart w:id="7" w:name="_Toc215931847"/>
      <w:r w:rsidRPr="00D734B7">
        <w:rPr>
          <w:color w:val="000000" w:themeColor="text1"/>
        </w:rPr>
        <w:lastRenderedPageBreak/>
        <w:t xml:space="preserve">FED &amp; </w:t>
      </w:r>
      <w:proofErr w:type="spellStart"/>
      <w:r w:rsidRPr="00D734B7">
        <w:rPr>
          <w:color w:val="000000" w:themeColor="text1"/>
        </w:rPr>
        <w:t>interRAI</w:t>
      </w:r>
      <w:proofErr w:type="spellEnd"/>
      <w:r w:rsidRPr="00D734B7">
        <w:rPr>
          <w:color w:val="000000" w:themeColor="text1"/>
        </w:rPr>
        <w:t xml:space="preserve"> Roles</w:t>
      </w:r>
      <w:bookmarkEnd w:id="7"/>
    </w:p>
    <w:p w14:paraId="325B2028" w14:textId="4B3F8338"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The </w:t>
      </w:r>
      <w:proofErr w:type="spellStart"/>
      <w:r w:rsidRPr="00D734B7">
        <w:rPr>
          <w:color w:val="000000" w:themeColor="text1"/>
        </w:rPr>
        <w:t>interRAI</w:t>
      </w:r>
      <w:proofErr w:type="spellEnd"/>
      <w:r w:rsidRPr="00D734B7">
        <w:rPr>
          <w:color w:val="000000" w:themeColor="text1"/>
        </w:rPr>
        <w:t xml:space="preserve"> Home Care assessment is person-centered</w:t>
      </w:r>
      <w:r w:rsidR="0024189B" w:rsidRPr="00D734B7">
        <w:rPr>
          <w:color w:val="000000" w:themeColor="text1"/>
        </w:rPr>
        <w:t xml:space="preserve">, </w:t>
      </w:r>
      <w:r w:rsidRPr="00D734B7">
        <w:rPr>
          <w:color w:val="000000" w:themeColor="text1"/>
        </w:rPr>
        <w:t xml:space="preserve">guiding both eligibility decisions and service planning. The FED uses a subset of </w:t>
      </w:r>
      <w:proofErr w:type="spellStart"/>
      <w:r w:rsidRPr="00D734B7">
        <w:rPr>
          <w:color w:val="000000" w:themeColor="text1"/>
        </w:rPr>
        <w:t>interRAI</w:t>
      </w:r>
      <w:proofErr w:type="spellEnd"/>
      <w:r w:rsidRPr="00D734B7">
        <w:rPr>
          <w:color w:val="000000" w:themeColor="text1"/>
        </w:rPr>
        <w:t xml:space="preserve"> questions to determine nursing facility level of care. Initial eligibility assessments are completed by Aging Well PA, and ongoing eligibility assessments by </w:t>
      </w:r>
      <w:r w:rsidR="00423826" w:rsidRPr="00D734B7">
        <w:rPr>
          <w:color w:val="000000" w:themeColor="text1"/>
        </w:rPr>
        <w:t>Managed Care Organization (</w:t>
      </w:r>
      <w:r w:rsidRPr="00D734B7">
        <w:rPr>
          <w:color w:val="000000" w:themeColor="text1"/>
        </w:rPr>
        <w:t>MCO</w:t>
      </w:r>
      <w:r w:rsidR="00423826" w:rsidRPr="00D734B7">
        <w:rPr>
          <w:color w:val="000000" w:themeColor="text1"/>
        </w:rPr>
        <w:t>)</w:t>
      </w:r>
      <w:r w:rsidRPr="00D734B7">
        <w:rPr>
          <w:color w:val="000000" w:themeColor="text1"/>
        </w:rPr>
        <w:t xml:space="preserve"> service coordinators. Consistency in definitions and coding across both groups is critical—it ensures participants are assessed fairly no matter who conducts the assessment.</w:t>
      </w:r>
    </w:p>
    <w:p w14:paraId="6D9441A8" w14:textId="268CD4B3" w:rsidR="00A615A0" w:rsidRPr="00D734B7" w:rsidRDefault="00E1768B" w:rsidP="008C4CC3">
      <w:pPr>
        <w:pStyle w:val="Heading3"/>
        <w:rPr>
          <w:color w:val="000000" w:themeColor="text1"/>
        </w:rPr>
      </w:pPr>
      <w:bookmarkStart w:id="8" w:name="_Toc215931848"/>
      <w:r w:rsidRPr="00D734B7">
        <w:rPr>
          <w:color w:val="000000" w:themeColor="text1"/>
        </w:rPr>
        <w:t xml:space="preserve">How </w:t>
      </w:r>
      <w:r w:rsidR="0024189B" w:rsidRPr="00D734B7">
        <w:rPr>
          <w:color w:val="000000" w:themeColor="text1"/>
        </w:rPr>
        <w:t>Does This Affect the Participant</w:t>
      </w:r>
      <w:r w:rsidRPr="00D734B7">
        <w:rPr>
          <w:color w:val="000000" w:themeColor="text1"/>
        </w:rPr>
        <w:t>?</w:t>
      </w:r>
      <w:bookmarkEnd w:id="8"/>
    </w:p>
    <w:p w14:paraId="0D886CFD"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When an individual seeks assistance with long-term care, the independent enrollment broker, IEB, manages the process. Aging Well PA assessors determine the clinical or functional eligibility part of the process. A physician also certifies that the person meets eligibility criteria.</w:t>
      </w:r>
    </w:p>
    <w:p w14:paraId="6D7727AF" w14:textId="4A5F45F5" w:rsidR="00A615A0" w:rsidRPr="00D734B7" w:rsidRDefault="00E1768B" w:rsidP="008C4CC3">
      <w:pPr>
        <w:pStyle w:val="Heading3"/>
        <w:rPr>
          <w:color w:val="000000" w:themeColor="text1"/>
        </w:rPr>
      </w:pPr>
      <w:bookmarkStart w:id="9" w:name="_Toc215931849"/>
      <w:r w:rsidRPr="00D734B7">
        <w:rPr>
          <w:color w:val="000000" w:themeColor="text1"/>
        </w:rPr>
        <w:t>NFCE Definition</w:t>
      </w:r>
      <w:bookmarkEnd w:id="9"/>
    </w:p>
    <w:p w14:paraId="70A0D470" w14:textId="77777777" w:rsidR="00E1768B" w:rsidRPr="00D734B7" w:rsidRDefault="00E1768B" w:rsidP="00945CAA">
      <w:pPr>
        <w:rPr>
          <w:color w:val="000000" w:themeColor="text1"/>
        </w:rPr>
      </w:pPr>
      <w:r w:rsidRPr="00D734B7">
        <w:rPr>
          <w:color w:val="000000" w:themeColor="text1"/>
        </w:rPr>
        <w:t>What exactly is the definition of Nursing Facility Clinically Eligible? The definition is taken from the NFCE bulletin.</w:t>
      </w:r>
    </w:p>
    <w:p w14:paraId="336D6756" w14:textId="17EC4BC5" w:rsidR="00E1768B" w:rsidRPr="00D734B7" w:rsidRDefault="00E1768B" w:rsidP="00AF5B3D">
      <w:pPr>
        <w:rPr>
          <w:rFonts w:cs="Arial"/>
          <w:color w:val="000000" w:themeColor="text1"/>
        </w:rPr>
      </w:pPr>
      <w:r w:rsidRPr="00D734B7">
        <w:rPr>
          <w:rFonts w:cs="Arial"/>
          <w:color w:val="000000" w:themeColor="text1"/>
        </w:rPr>
        <w:t xml:space="preserve">The individual has an illness, disability, or medical condition diagnosed by a physician; and, as a result of that diagnosis, injury, or medical condition, the individual requires care and services above the level of room and board; and, the physician certifies the individual is NFCE through the MA-570 form; and the care and services are either </w:t>
      </w:r>
      <w:r w:rsidR="0024189B" w:rsidRPr="00D734B7">
        <w:rPr>
          <w:rFonts w:cs="Arial"/>
          <w:color w:val="000000" w:themeColor="text1"/>
        </w:rPr>
        <w:t>s</w:t>
      </w:r>
      <w:r w:rsidRPr="00D734B7">
        <w:rPr>
          <w:rFonts w:cs="Arial"/>
          <w:color w:val="000000" w:themeColor="text1"/>
        </w:rPr>
        <w:t>killed nursing or rehabilitation services as specified by the Medicare Program, or Health-related care and services that may not be as inherently complex as skilled nursing or rehabilitation services, but which are needed and provided on a regular basis in the context of a planned program of health care and management and were previously only available through institutional facilities.</w:t>
      </w:r>
    </w:p>
    <w:p w14:paraId="452916A3" w14:textId="77777777" w:rsidR="00E1768B" w:rsidRPr="00D734B7" w:rsidRDefault="00E1768B" w:rsidP="00945CAA">
      <w:pPr>
        <w:rPr>
          <w:color w:val="000000" w:themeColor="text1"/>
        </w:rPr>
      </w:pPr>
      <w:r w:rsidRPr="00D734B7">
        <w:rPr>
          <w:color w:val="000000" w:themeColor="text1"/>
        </w:rPr>
        <w:t>A person is eligible if their medical condition and functional state is such that placement in a nursing facility would be necessary, if not for the availability of home and community-based services.</w:t>
      </w:r>
    </w:p>
    <w:p w14:paraId="0B706999"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level of care is the key issue, not where the person receives care. Now, let’s move to the process of initial eligibility determination.</w:t>
      </w:r>
    </w:p>
    <w:p w14:paraId="1373FF2E" w14:textId="43337DE6" w:rsidR="00A615A0" w:rsidRPr="00D734B7" w:rsidRDefault="00E1768B" w:rsidP="008C4CC3">
      <w:pPr>
        <w:pStyle w:val="Heading3"/>
        <w:rPr>
          <w:color w:val="000000" w:themeColor="text1"/>
        </w:rPr>
      </w:pPr>
      <w:bookmarkStart w:id="10" w:name="_Toc215931850"/>
      <w:r w:rsidRPr="00D734B7">
        <w:rPr>
          <w:color w:val="000000" w:themeColor="text1"/>
        </w:rPr>
        <w:t>Initial Eligibility Process</w:t>
      </w:r>
      <w:bookmarkEnd w:id="10"/>
    </w:p>
    <w:p w14:paraId="40E0288D" w14:textId="77777777" w:rsidR="00E1768B" w:rsidRPr="00D734B7" w:rsidRDefault="00E1768B" w:rsidP="00945CAA">
      <w:pPr>
        <w:rPr>
          <w:color w:val="000000" w:themeColor="text1"/>
        </w:rPr>
      </w:pPr>
      <w:r w:rsidRPr="00D734B7">
        <w:rPr>
          <w:color w:val="000000" w:themeColor="text1"/>
        </w:rPr>
        <w:t>The Aging Well PA assessors complete the initial FED. They use the FED tool to do this.</w:t>
      </w:r>
    </w:p>
    <w:p w14:paraId="44F1E859" w14:textId="727D52BC" w:rsidR="00E1768B" w:rsidRPr="00D734B7" w:rsidRDefault="00E1768B" w:rsidP="00945CAA">
      <w:pPr>
        <w:rPr>
          <w:color w:val="000000" w:themeColor="text1"/>
        </w:rPr>
      </w:pPr>
      <w:r w:rsidRPr="00D734B7">
        <w:rPr>
          <w:color w:val="000000" w:themeColor="text1"/>
        </w:rPr>
        <w:t>If the Aging Well PA assessor concludes that the person is NFCE, the IEB completes enrollment.</w:t>
      </w:r>
    </w:p>
    <w:p w14:paraId="2BAB621A" w14:textId="414DC514"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participant chooses a</w:t>
      </w:r>
      <w:r w:rsidR="005568DD" w:rsidRPr="00D734B7">
        <w:rPr>
          <w:color w:val="000000" w:themeColor="text1"/>
        </w:rPr>
        <w:t>n</w:t>
      </w:r>
      <w:r w:rsidRPr="00D734B7">
        <w:rPr>
          <w:color w:val="000000" w:themeColor="text1"/>
        </w:rPr>
        <w:t xml:space="preserve"> MCO. The MCO Service Coordinator</w:t>
      </w:r>
      <w:r w:rsidR="00B84312" w:rsidRPr="00D734B7">
        <w:rPr>
          <w:color w:val="000000" w:themeColor="text1"/>
        </w:rPr>
        <w:t>, SC,</w:t>
      </w:r>
      <w:r w:rsidRPr="00D734B7">
        <w:rPr>
          <w:color w:val="000000" w:themeColor="text1"/>
        </w:rPr>
        <w:t xml:space="preserve"> develops the Person-Centered Service Plan, PCSP. The participant then chooses providers.</w:t>
      </w:r>
    </w:p>
    <w:p w14:paraId="5A2965EF" w14:textId="7B13F1F2" w:rsidR="00A615A0" w:rsidRPr="00D734B7" w:rsidRDefault="00E1768B" w:rsidP="008C4CC3">
      <w:pPr>
        <w:pStyle w:val="Heading3"/>
        <w:rPr>
          <w:color w:val="000000" w:themeColor="text1"/>
        </w:rPr>
      </w:pPr>
      <w:bookmarkStart w:id="11" w:name="_Toc215931851"/>
      <w:r w:rsidRPr="00D734B7">
        <w:rPr>
          <w:color w:val="000000" w:themeColor="text1"/>
        </w:rPr>
        <w:lastRenderedPageBreak/>
        <w:t>Consistency</w:t>
      </w:r>
      <w:bookmarkEnd w:id="11"/>
    </w:p>
    <w:p w14:paraId="0DF7235E" w14:textId="41AE7252" w:rsidR="00E1768B" w:rsidRPr="00D734B7" w:rsidRDefault="00AF5B3D" w:rsidP="00945CAA">
      <w:pPr>
        <w:rPr>
          <w:color w:val="000000" w:themeColor="text1"/>
        </w:rPr>
      </w:pPr>
      <w:r w:rsidRPr="00D734B7">
        <w:rPr>
          <w:color w:val="000000" w:themeColor="text1"/>
        </w:rPr>
        <w:t>T</w:t>
      </w:r>
      <w:r w:rsidR="00E1768B" w:rsidRPr="00D734B7">
        <w:rPr>
          <w:color w:val="000000" w:themeColor="text1"/>
        </w:rPr>
        <w:t>o ensure consistency of needs assessments and of eligibility determinations, all assessors at all organizations must perform and code assessments objectively and precisely, using the same definitions and coding standards. This comes into play after the initial assessment for eligibility.</w:t>
      </w:r>
    </w:p>
    <w:p w14:paraId="76217119"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Aging Well PA and service coordinators are both involved in continuing eligibility when a person is reassessed. Reassessment happens 365 days from the date of the last assessment, the FED, or if there is a triggering event. A triggering event could be medical or functional. The event is something that changes the current level of need and care determination.</w:t>
      </w:r>
    </w:p>
    <w:p w14:paraId="28B7E66A" w14:textId="5BA13784" w:rsidR="00A615A0" w:rsidRPr="00D734B7" w:rsidRDefault="00E1768B" w:rsidP="008C4CC3">
      <w:pPr>
        <w:pStyle w:val="Heading3"/>
        <w:rPr>
          <w:color w:val="000000" w:themeColor="text1"/>
        </w:rPr>
      </w:pPr>
      <w:bookmarkStart w:id="12" w:name="_Toc215931852"/>
      <w:r w:rsidRPr="00D734B7">
        <w:rPr>
          <w:color w:val="000000" w:themeColor="text1"/>
        </w:rPr>
        <w:t>Reassessment Process</w:t>
      </w:r>
      <w:bookmarkEnd w:id="12"/>
    </w:p>
    <w:p w14:paraId="7692A636" w14:textId="1865B8F1" w:rsidR="00E1768B" w:rsidRPr="00D734B7" w:rsidRDefault="00E1768B" w:rsidP="00945CAA">
      <w:pPr>
        <w:rPr>
          <w:color w:val="000000" w:themeColor="text1"/>
        </w:rPr>
      </w:pPr>
      <w:r w:rsidRPr="00D734B7">
        <w:rPr>
          <w:color w:val="000000" w:themeColor="text1"/>
        </w:rPr>
        <w:t xml:space="preserve">The reassessment process begins when the MCO completes a comprehensive needs assessment using the </w:t>
      </w:r>
      <w:proofErr w:type="spellStart"/>
      <w:r w:rsidRPr="00D734B7">
        <w:rPr>
          <w:color w:val="000000" w:themeColor="text1"/>
        </w:rPr>
        <w:t>interRAI</w:t>
      </w:r>
      <w:proofErr w:type="spellEnd"/>
      <w:r w:rsidRPr="00D734B7">
        <w:rPr>
          <w:color w:val="000000" w:themeColor="text1"/>
        </w:rPr>
        <w:t xml:space="preserve"> tool.</w:t>
      </w:r>
    </w:p>
    <w:p w14:paraId="4BCC7135" w14:textId="77777777" w:rsidR="00E1768B" w:rsidRPr="00D734B7" w:rsidRDefault="00E1768B" w:rsidP="00945CAA">
      <w:pPr>
        <w:rPr>
          <w:color w:val="000000" w:themeColor="text1"/>
        </w:rPr>
      </w:pPr>
      <w:r w:rsidRPr="00D734B7">
        <w:rPr>
          <w:color w:val="000000" w:themeColor="text1"/>
        </w:rPr>
        <w:t>Once the assessment is finalized, the MCO uploads the assessment results into the Pennsylvania Individualized Assessment (PIA) system.</w:t>
      </w:r>
    </w:p>
    <w:p w14:paraId="49BD61DF" w14:textId="77777777" w:rsidR="00E1768B" w:rsidRPr="00D734B7" w:rsidRDefault="00E1768B" w:rsidP="00945CAA">
      <w:pPr>
        <w:rPr>
          <w:color w:val="000000" w:themeColor="text1"/>
        </w:rPr>
      </w:pPr>
      <w:r w:rsidRPr="00D734B7">
        <w:rPr>
          <w:color w:val="000000" w:themeColor="text1"/>
        </w:rPr>
        <w:t xml:space="preserve">When the upload is complete, the system notifies Aging Well PA with the MCO’s FED data and its results from the </w:t>
      </w:r>
      <w:proofErr w:type="spellStart"/>
      <w:r w:rsidRPr="00D734B7">
        <w:rPr>
          <w:color w:val="000000" w:themeColor="text1"/>
        </w:rPr>
        <w:t>interRAI</w:t>
      </w:r>
      <w:proofErr w:type="spellEnd"/>
      <w:r w:rsidRPr="00D734B7">
        <w:rPr>
          <w:color w:val="000000" w:themeColor="text1"/>
        </w:rPr>
        <w:t>.</w:t>
      </w:r>
    </w:p>
    <w:p w14:paraId="719E349E" w14:textId="77777777" w:rsidR="00E1768B" w:rsidRPr="00D734B7" w:rsidRDefault="00E1768B" w:rsidP="00945CAA">
      <w:pPr>
        <w:rPr>
          <w:color w:val="000000" w:themeColor="text1"/>
        </w:rPr>
      </w:pPr>
      <w:r w:rsidRPr="00D734B7">
        <w:rPr>
          <w:color w:val="000000" w:themeColor="text1"/>
        </w:rPr>
        <w:t>Next, the Aging Well PA assessor compares the MCO’s FED data with the previous FED to verify the participant’s current level of care.</w:t>
      </w:r>
    </w:p>
    <w:p w14:paraId="370A5ADF" w14:textId="0A121152" w:rsidR="00E1768B" w:rsidRPr="00D734B7" w:rsidRDefault="00E1768B" w:rsidP="00945CAA">
      <w:pPr>
        <w:rPr>
          <w:color w:val="000000" w:themeColor="text1"/>
        </w:rPr>
      </w:pPr>
      <w:r w:rsidRPr="00D734B7">
        <w:rPr>
          <w:color w:val="000000" w:themeColor="text1"/>
        </w:rPr>
        <w:t>If verified Nursing Facility Ineligible</w:t>
      </w:r>
      <w:r w:rsidR="00D00BB4" w:rsidRPr="00D734B7">
        <w:rPr>
          <w:color w:val="000000" w:themeColor="text1"/>
        </w:rPr>
        <w:t xml:space="preserve"> (NFI)</w:t>
      </w:r>
      <w:r w:rsidRPr="00D734B7">
        <w:rPr>
          <w:color w:val="000000" w:themeColor="text1"/>
        </w:rPr>
        <w:t>, Aging Well PA notifies the MCO that a new physician certification (MA-570) and supporting documents are required.</w:t>
      </w:r>
    </w:p>
    <w:p w14:paraId="56E9A5EE" w14:textId="77777777" w:rsidR="00E1768B" w:rsidRPr="00D734B7" w:rsidRDefault="00E1768B" w:rsidP="00945CAA">
      <w:pPr>
        <w:rPr>
          <w:color w:val="000000" w:themeColor="text1"/>
        </w:rPr>
      </w:pPr>
      <w:r w:rsidRPr="00D734B7">
        <w:rPr>
          <w:color w:val="000000" w:themeColor="text1"/>
        </w:rPr>
        <w:t>Upon submission of a new NFCE physician certification, or if a physician certification is not received within 60 days, a new FED request is sent to the Area Agency on Aging (AAA) for completion.</w:t>
      </w:r>
    </w:p>
    <w:p w14:paraId="0AF20A57" w14:textId="56617E88" w:rsidR="00E1768B" w:rsidRPr="00D734B7" w:rsidRDefault="00E1768B" w:rsidP="00945CAA">
      <w:pPr>
        <w:rPr>
          <w:color w:val="000000" w:themeColor="text1"/>
        </w:rPr>
      </w:pPr>
      <w:r w:rsidRPr="00D734B7">
        <w:rPr>
          <w:color w:val="000000" w:themeColor="text1"/>
        </w:rPr>
        <w:t>All submitted materials—including the MA-570, new FED, and supporting records—are then reviewed by</w:t>
      </w:r>
      <w:r w:rsidR="00D00BB4" w:rsidRPr="00D734B7">
        <w:rPr>
          <w:color w:val="000000" w:themeColor="text1"/>
        </w:rPr>
        <w:t xml:space="preserve"> the</w:t>
      </w:r>
      <w:r w:rsidRPr="00D734B7">
        <w:rPr>
          <w:color w:val="000000" w:themeColor="text1"/>
        </w:rPr>
        <w:t xml:space="preserve"> OLTL clinical review team. They conduct the final review and determine the individual’s official level of care outcome.</w:t>
      </w:r>
    </w:p>
    <w:p w14:paraId="060B8CFC" w14:textId="4F43C31B" w:rsidR="00E1768B" w:rsidRPr="00D734B7" w:rsidRDefault="00E1768B" w:rsidP="00945CAA">
      <w:pPr>
        <w:rPr>
          <w:color w:val="000000" w:themeColor="text1"/>
        </w:rPr>
      </w:pPr>
      <w:r w:rsidRPr="00D734B7">
        <w:rPr>
          <w:color w:val="000000" w:themeColor="text1"/>
        </w:rPr>
        <w:t>If the outcome is NFCE, the individual remains enrolled in Community HealthChoices (CHC) and does not go through the NFI disenrollment process.</w:t>
      </w:r>
    </w:p>
    <w:p w14:paraId="3309DAE4" w14:textId="77777777" w:rsidR="00E1768B" w:rsidRPr="00D734B7" w:rsidRDefault="00E1768B" w:rsidP="00945CAA">
      <w:pPr>
        <w:rPr>
          <w:color w:val="000000" w:themeColor="text1"/>
        </w:rPr>
      </w:pPr>
      <w:r w:rsidRPr="00D734B7">
        <w:rPr>
          <w:color w:val="000000" w:themeColor="text1"/>
        </w:rPr>
        <w:t>If the outcome is NFI, the case proceeds through the NFI disenrollment process.</w:t>
      </w:r>
    </w:p>
    <w:p w14:paraId="7345B169" w14:textId="08D8AF83" w:rsidR="00A615A0"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It’s important to note that the clinical review team are the only reviewers who have access to certain clinical details—specifically, the PCSP, notes, and the two most recent </w:t>
      </w:r>
      <w:proofErr w:type="spellStart"/>
      <w:r w:rsidRPr="00D734B7">
        <w:rPr>
          <w:color w:val="000000" w:themeColor="text1"/>
        </w:rPr>
        <w:t>interRAI</w:t>
      </w:r>
      <w:proofErr w:type="spellEnd"/>
      <w:r w:rsidRPr="00D734B7">
        <w:rPr>
          <w:color w:val="000000" w:themeColor="text1"/>
        </w:rPr>
        <w:t xml:space="preserve"> assessments—after the MA-570 has been received. Aging Well PA does not have access to this information.</w:t>
      </w:r>
    </w:p>
    <w:p w14:paraId="53B400F4" w14:textId="60470E3C" w:rsidR="00A615A0" w:rsidRPr="00D734B7" w:rsidRDefault="00E1768B">
      <w:pPr>
        <w:pStyle w:val="Heading2"/>
        <w:rPr>
          <w:color w:val="000000" w:themeColor="text1"/>
        </w:rPr>
      </w:pPr>
      <w:bookmarkStart w:id="13" w:name="_Toc215931853"/>
      <w:r w:rsidRPr="00D734B7">
        <w:rPr>
          <w:color w:val="000000" w:themeColor="text1"/>
        </w:rPr>
        <w:lastRenderedPageBreak/>
        <w:t xml:space="preserve">FED &amp; </w:t>
      </w:r>
      <w:proofErr w:type="spellStart"/>
      <w:r w:rsidRPr="00D734B7">
        <w:rPr>
          <w:color w:val="000000" w:themeColor="text1"/>
        </w:rPr>
        <w:t>interRAI</w:t>
      </w:r>
      <w:proofErr w:type="spellEnd"/>
      <w:r w:rsidRPr="00D734B7">
        <w:rPr>
          <w:color w:val="000000" w:themeColor="text1"/>
        </w:rPr>
        <w:t xml:space="preserve"> Comprehensive Needs Assessment Overview</w:t>
      </w:r>
      <w:bookmarkEnd w:id="13"/>
    </w:p>
    <w:p w14:paraId="44D8BD4E" w14:textId="5DFFA596" w:rsidR="00E1768B" w:rsidRPr="00D734B7" w:rsidRDefault="00D00BB4" w:rsidP="00945CAA">
      <w:pPr>
        <w:rPr>
          <w:rFonts w:ascii="Microsoft Sans Serif" w:hAnsi="Microsoft Sans Serif" w:cs="Microsoft Sans Serif"/>
          <w:color w:val="000000" w:themeColor="text1"/>
          <w:sz w:val="17"/>
          <w:szCs w:val="17"/>
        </w:rPr>
      </w:pPr>
      <w:r w:rsidRPr="00D734B7">
        <w:rPr>
          <w:color w:val="000000" w:themeColor="text1"/>
        </w:rPr>
        <w:t>Next,</w:t>
      </w:r>
      <w:r w:rsidR="00E1768B" w:rsidRPr="00D734B7">
        <w:rPr>
          <w:color w:val="000000" w:themeColor="text1"/>
        </w:rPr>
        <w:t xml:space="preserve"> we’ll look at an overview of the FED and </w:t>
      </w:r>
      <w:proofErr w:type="spellStart"/>
      <w:r w:rsidR="00E1768B" w:rsidRPr="00D734B7">
        <w:rPr>
          <w:color w:val="000000" w:themeColor="text1"/>
        </w:rPr>
        <w:t>interRAI</w:t>
      </w:r>
      <w:proofErr w:type="spellEnd"/>
      <w:r w:rsidR="00E1768B" w:rsidRPr="00D734B7">
        <w:rPr>
          <w:color w:val="000000" w:themeColor="text1"/>
        </w:rPr>
        <w:t xml:space="preserve"> Comprehensive Needs Assessment.</w:t>
      </w:r>
    </w:p>
    <w:p w14:paraId="2D710889" w14:textId="7037C168" w:rsidR="00A615A0" w:rsidRPr="00D734B7" w:rsidRDefault="00E1768B" w:rsidP="00B719B3">
      <w:pPr>
        <w:pStyle w:val="Heading3"/>
        <w:rPr>
          <w:color w:val="000000" w:themeColor="text1"/>
        </w:rPr>
      </w:pPr>
      <w:bookmarkStart w:id="14" w:name="_Toc215931854"/>
      <w:r w:rsidRPr="00D734B7">
        <w:rPr>
          <w:color w:val="000000" w:themeColor="text1"/>
        </w:rPr>
        <w:t xml:space="preserve">FED &amp; </w:t>
      </w:r>
      <w:proofErr w:type="spellStart"/>
      <w:r w:rsidRPr="00D734B7">
        <w:rPr>
          <w:color w:val="000000" w:themeColor="text1"/>
        </w:rPr>
        <w:t>interRAI</w:t>
      </w:r>
      <w:proofErr w:type="spellEnd"/>
      <w:r w:rsidRPr="00D734B7">
        <w:rPr>
          <w:color w:val="000000" w:themeColor="text1"/>
        </w:rPr>
        <w:t xml:space="preserve"> Overview</w:t>
      </w:r>
      <w:bookmarkEnd w:id="14"/>
    </w:p>
    <w:p w14:paraId="2C2F42A8" w14:textId="77777777" w:rsidR="00E1768B" w:rsidRPr="00D734B7" w:rsidRDefault="00E1768B" w:rsidP="00945CAA">
      <w:pPr>
        <w:rPr>
          <w:color w:val="000000" w:themeColor="text1"/>
        </w:rPr>
      </w:pPr>
      <w:r w:rsidRPr="00D734B7">
        <w:rPr>
          <w:color w:val="000000" w:themeColor="text1"/>
        </w:rPr>
        <w:t>Service Coordinators have an important role in the continued eligibility of individuals on the Home and Community-Based Services (HCBS) waivers.</w:t>
      </w:r>
    </w:p>
    <w:p w14:paraId="6BD1C98F" w14:textId="6502A5EB" w:rsidR="00E1768B" w:rsidRPr="00D734B7" w:rsidRDefault="00E1768B" w:rsidP="00945CAA">
      <w:pPr>
        <w:rPr>
          <w:color w:val="000000" w:themeColor="text1"/>
        </w:rPr>
      </w:pPr>
      <w:r w:rsidRPr="00D734B7">
        <w:rPr>
          <w:color w:val="000000" w:themeColor="text1"/>
        </w:rPr>
        <w:t xml:space="preserve">The completion of the FED portion of the </w:t>
      </w:r>
      <w:proofErr w:type="spellStart"/>
      <w:r w:rsidRPr="00D734B7">
        <w:rPr>
          <w:color w:val="000000" w:themeColor="text1"/>
        </w:rPr>
        <w:t>interRAI</w:t>
      </w:r>
      <w:proofErr w:type="spellEnd"/>
      <w:r w:rsidRPr="00D734B7">
        <w:rPr>
          <w:color w:val="000000" w:themeColor="text1"/>
        </w:rPr>
        <w:t xml:space="preserve"> assessment determines continued eligibility on the HCBS waiver.</w:t>
      </w:r>
    </w:p>
    <w:p w14:paraId="0EC8C1C0" w14:textId="52E778B2" w:rsidR="00E1768B" w:rsidRPr="00D734B7" w:rsidRDefault="00E1768B" w:rsidP="00945CAA">
      <w:pPr>
        <w:rPr>
          <w:color w:val="000000" w:themeColor="text1"/>
        </w:rPr>
      </w:pPr>
      <w:r w:rsidRPr="00D734B7">
        <w:rPr>
          <w:color w:val="000000" w:themeColor="text1"/>
        </w:rPr>
        <w:t xml:space="preserve">Upon submission of an </w:t>
      </w:r>
      <w:proofErr w:type="spellStart"/>
      <w:r w:rsidRPr="00D734B7">
        <w:rPr>
          <w:color w:val="000000" w:themeColor="text1"/>
        </w:rPr>
        <w:t>interRAI</w:t>
      </w:r>
      <w:proofErr w:type="spellEnd"/>
      <w:r w:rsidRPr="00D734B7">
        <w:rPr>
          <w:color w:val="000000" w:themeColor="text1"/>
        </w:rPr>
        <w:t xml:space="preserve"> assessment, the Aging Well PA assessor reviews the assessment, but does not overturn them, unless a new FED is required and then certified by the medical director.</w:t>
      </w:r>
    </w:p>
    <w:p w14:paraId="715BAAB3"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To avoid any potential disruption in care, it’s imperative that assessments are precise in determining when an individual’s condition has improved to the extent that they would not be institutionalized if waiver services were discontinued. Notes and documentation are required.</w:t>
      </w:r>
    </w:p>
    <w:p w14:paraId="61185B1E" w14:textId="15194E6D" w:rsidR="00A615A0" w:rsidRPr="00D734B7" w:rsidRDefault="00E1768B">
      <w:pPr>
        <w:pStyle w:val="Heading2"/>
        <w:rPr>
          <w:color w:val="000000" w:themeColor="text1"/>
        </w:rPr>
      </w:pPr>
      <w:bookmarkStart w:id="15" w:name="_Toc215931855"/>
      <w:r w:rsidRPr="00D734B7">
        <w:rPr>
          <w:color w:val="000000" w:themeColor="text1"/>
        </w:rPr>
        <w:t>FED/</w:t>
      </w:r>
      <w:proofErr w:type="spellStart"/>
      <w:r w:rsidRPr="00D734B7">
        <w:rPr>
          <w:color w:val="000000" w:themeColor="text1"/>
        </w:rPr>
        <w:t>interRAI</w:t>
      </w:r>
      <w:proofErr w:type="spellEnd"/>
      <w:r w:rsidRPr="00D734B7">
        <w:rPr>
          <w:color w:val="000000" w:themeColor="text1"/>
        </w:rPr>
        <w:t xml:space="preserve"> Instrument</w:t>
      </w:r>
      <w:bookmarkEnd w:id="15"/>
    </w:p>
    <w:p w14:paraId="0E10EEAC" w14:textId="61F3D68C" w:rsidR="00E1768B" w:rsidRPr="00D734B7" w:rsidRDefault="00E1768B" w:rsidP="00945CAA">
      <w:pPr>
        <w:rPr>
          <w:color w:val="000000" w:themeColor="text1"/>
        </w:rPr>
      </w:pPr>
      <w:r w:rsidRPr="00D734B7">
        <w:rPr>
          <w:color w:val="000000" w:themeColor="text1"/>
        </w:rPr>
        <w:t xml:space="preserve">Pennsylvania uses the </w:t>
      </w:r>
      <w:proofErr w:type="spellStart"/>
      <w:r w:rsidRPr="00D734B7">
        <w:rPr>
          <w:color w:val="000000" w:themeColor="text1"/>
        </w:rPr>
        <w:t>interRAI</w:t>
      </w:r>
      <w:proofErr w:type="spellEnd"/>
      <w:r w:rsidRPr="00D734B7">
        <w:rPr>
          <w:color w:val="000000" w:themeColor="text1"/>
        </w:rPr>
        <w:t xml:space="preserve"> Home Care Instrument. It is a standardized, minimal assessment and screening tool designed for clinical use.</w:t>
      </w:r>
    </w:p>
    <w:p w14:paraId="4A002F1A" w14:textId="62C85F94" w:rsidR="00E1768B" w:rsidRPr="00D734B7" w:rsidRDefault="00E1768B" w:rsidP="00945CAA">
      <w:pPr>
        <w:rPr>
          <w:color w:val="000000" w:themeColor="text1"/>
        </w:rPr>
      </w:pPr>
      <w:r w:rsidRPr="00D734B7">
        <w:rPr>
          <w:color w:val="000000" w:themeColor="text1"/>
        </w:rPr>
        <w:t xml:space="preserve">It does not include </w:t>
      </w:r>
      <w:proofErr w:type="gramStart"/>
      <w:r w:rsidRPr="00D734B7">
        <w:rPr>
          <w:color w:val="000000" w:themeColor="text1"/>
        </w:rPr>
        <w:t>all of</w:t>
      </w:r>
      <w:proofErr w:type="gramEnd"/>
      <w:r w:rsidRPr="00D734B7">
        <w:rPr>
          <w:color w:val="000000" w:themeColor="text1"/>
        </w:rPr>
        <w:t xml:space="preserve"> the information that might be necessary to construct a comprehensive plan of care.</w:t>
      </w:r>
    </w:p>
    <w:p w14:paraId="397076ED" w14:textId="34C82223" w:rsidR="00E1768B" w:rsidRPr="00D734B7" w:rsidRDefault="00E1768B" w:rsidP="00945CAA">
      <w:pPr>
        <w:rPr>
          <w:color w:val="000000" w:themeColor="text1"/>
        </w:rPr>
      </w:pPr>
      <w:r w:rsidRPr="00D734B7">
        <w:rPr>
          <w:color w:val="000000" w:themeColor="text1"/>
        </w:rPr>
        <w:t xml:space="preserve">Supplemental information, relevant to the person, should be assessed and incorporated as necessary. The items in the </w:t>
      </w:r>
      <w:proofErr w:type="spellStart"/>
      <w:r w:rsidRPr="00D734B7">
        <w:rPr>
          <w:color w:val="000000" w:themeColor="text1"/>
        </w:rPr>
        <w:t>interRAI</w:t>
      </w:r>
      <w:proofErr w:type="spellEnd"/>
      <w:r w:rsidRPr="00D734B7">
        <w:rPr>
          <w:color w:val="000000" w:themeColor="text1"/>
        </w:rPr>
        <w:t xml:space="preserve"> measure a person's objective performance in a variety of areas.</w:t>
      </w:r>
    </w:p>
    <w:p w14:paraId="536E5E32" w14:textId="4EB62A51"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Please note that FED scoring uses separate criteria to determine whether the individual is nursing facility clinically eligible. Not all items in the FED or in the </w:t>
      </w:r>
      <w:proofErr w:type="spellStart"/>
      <w:r w:rsidRPr="00D734B7">
        <w:rPr>
          <w:color w:val="000000" w:themeColor="text1"/>
        </w:rPr>
        <w:t>interRAI</w:t>
      </w:r>
      <w:proofErr w:type="spellEnd"/>
      <w:r w:rsidRPr="00D734B7">
        <w:rPr>
          <w:color w:val="000000" w:themeColor="text1"/>
        </w:rPr>
        <w:t xml:space="preserve"> home care assessment are used in determining an individual's nursing facility eligibility.</w:t>
      </w:r>
    </w:p>
    <w:p w14:paraId="17018D5B" w14:textId="47E03C50" w:rsidR="00A615A0" w:rsidRPr="00D734B7" w:rsidRDefault="00E1768B" w:rsidP="00420EBC">
      <w:pPr>
        <w:pStyle w:val="Heading3"/>
        <w:rPr>
          <w:color w:val="000000" w:themeColor="text1"/>
        </w:rPr>
      </w:pPr>
      <w:bookmarkStart w:id="16" w:name="_Toc215931856"/>
      <w:r w:rsidRPr="00D734B7">
        <w:rPr>
          <w:color w:val="000000" w:themeColor="text1"/>
        </w:rPr>
        <w:t xml:space="preserve">FED and </w:t>
      </w:r>
      <w:proofErr w:type="spellStart"/>
      <w:r w:rsidRPr="00D734B7">
        <w:rPr>
          <w:color w:val="000000" w:themeColor="text1"/>
        </w:rPr>
        <w:t>interRAI</w:t>
      </w:r>
      <w:proofErr w:type="spellEnd"/>
      <w:r w:rsidRPr="00D734B7">
        <w:rPr>
          <w:color w:val="000000" w:themeColor="text1"/>
        </w:rPr>
        <w:t xml:space="preserve"> Assessments</w:t>
      </w:r>
      <w:bookmarkEnd w:id="16"/>
    </w:p>
    <w:p w14:paraId="1BE2F592" w14:textId="77777777" w:rsidR="00E1768B" w:rsidRPr="00D734B7" w:rsidRDefault="00E1768B" w:rsidP="00945CAA">
      <w:pPr>
        <w:rPr>
          <w:color w:val="000000" w:themeColor="text1"/>
        </w:rPr>
      </w:pPr>
      <w:r w:rsidRPr="00D734B7">
        <w:rPr>
          <w:color w:val="000000" w:themeColor="text1"/>
        </w:rPr>
        <w:t xml:space="preserve">The following items are assessed in the FED. Not all of them are used in scoring for NFCE. (We’ll review the scoring matrix after we review </w:t>
      </w:r>
      <w:proofErr w:type="gramStart"/>
      <w:r w:rsidRPr="00D734B7">
        <w:rPr>
          <w:color w:val="000000" w:themeColor="text1"/>
        </w:rPr>
        <w:t>all of</w:t>
      </w:r>
      <w:proofErr w:type="gramEnd"/>
      <w:r w:rsidRPr="00D734B7">
        <w:rPr>
          <w:color w:val="000000" w:themeColor="text1"/>
        </w:rPr>
        <w:t xml:space="preserve"> the individual elements.)</w:t>
      </w:r>
    </w:p>
    <w:p w14:paraId="6CF3A6F8" w14:textId="77777777" w:rsidR="00E1768B" w:rsidRPr="00D734B7" w:rsidRDefault="00E1768B" w:rsidP="00534E0E">
      <w:pPr>
        <w:pStyle w:val="ListParagraph"/>
        <w:numPr>
          <w:ilvl w:val="0"/>
          <w:numId w:val="2"/>
        </w:numPr>
        <w:rPr>
          <w:color w:val="000000" w:themeColor="text1"/>
        </w:rPr>
      </w:pPr>
      <w:r w:rsidRPr="00D734B7">
        <w:rPr>
          <w:color w:val="000000" w:themeColor="text1"/>
        </w:rPr>
        <w:t>Identification,</w:t>
      </w:r>
    </w:p>
    <w:p w14:paraId="5A597C7E" w14:textId="77777777" w:rsidR="00E1768B" w:rsidRPr="00D734B7" w:rsidRDefault="00E1768B" w:rsidP="00534E0E">
      <w:pPr>
        <w:pStyle w:val="ListParagraph"/>
        <w:numPr>
          <w:ilvl w:val="0"/>
          <w:numId w:val="2"/>
        </w:numPr>
        <w:rPr>
          <w:color w:val="000000" w:themeColor="text1"/>
        </w:rPr>
      </w:pPr>
      <w:r w:rsidRPr="00D734B7">
        <w:rPr>
          <w:color w:val="000000" w:themeColor="text1"/>
        </w:rPr>
        <w:t>Cognition,</w:t>
      </w:r>
    </w:p>
    <w:p w14:paraId="3609C61D" w14:textId="77777777" w:rsidR="00E1768B" w:rsidRPr="00D734B7" w:rsidRDefault="00E1768B" w:rsidP="00534E0E">
      <w:pPr>
        <w:pStyle w:val="ListParagraph"/>
        <w:numPr>
          <w:ilvl w:val="0"/>
          <w:numId w:val="2"/>
        </w:numPr>
        <w:rPr>
          <w:color w:val="000000" w:themeColor="text1"/>
        </w:rPr>
      </w:pPr>
      <w:r w:rsidRPr="00D734B7">
        <w:rPr>
          <w:color w:val="000000" w:themeColor="text1"/>
        </w:rPr>
        <w:t>Mood and Behavior,</w:t>
      </w:r>
    </w:p>
    <w:p w14:paraId="3002264B" w14:textId="77777777" w:rsidR="00E1768B" w:rsidRPr="00D734B7" w:rsidRDefault="00E1768B" w:rsidP="00534E0E">
      <w:pPr>
        <w:pStyle w:val="ListParagraph"/>
        <w:numPr>
          <w:ilvl w:val="0"/>
          <w:numId w:val="2"/>
        </w:numPr>
        <w:rPr>
          <w:color w:val="000000" w:themeColor="text1"/>
        </w:rPr>
      </w:pPr>
      <w:r w:rsidRPr="00D734B7">
        <w:rPr>
          <w:color w:val="000000" w:themeColor="text1"/>
        </w:rPr>
        <w:t>Continence,</w:t>
      </w:r>
    </w:p>
    <w:p w14:paraId="5D83EA54" w14:textId="77777777" w:rsidR="00E1768B" w:rsidRPr="00D734B7" w:rsidRDefault="00E1768B" w:rsidP="00534E0E">
      <w:pPr>
        <w:pStyle w:val="ListParagraph"/>
        <w:numPr>
          <w:ilvl w:val="0"/>
          <w:numId w:val="2"/>
        </w:numPr>
        <w:rPr>
          <w:color w:val="000000" w:themeColor="text1"/>
        </w:rPr>
      </w:pPr>
      <w:r w:rsidRPr="00D734B7">
        <w:rPr>
          <w:color w:val="000000" w:themeColor="text1"/>
        </w:rPr>
        <w:lastRenderedPageBreak/>
        <w:t>Treatments and Procedures, and</w:t>
      </w:r>
    </w:p>
    <w:p w14:paraId="28C1859D" w14:textId="77777777" w:rsidR="00E1768B" w:rsidRPr="00D734B7" w:rsidRDefault="00E1768B" w:rsidP="00534E0E">
      <w:pPr>
        <w:pStyle w:val="ListParagraph"/>
        <w:numPr>
          <w:ilvl w:val="0"/>
          <w:numId w:val="2"/>
        </w:numPr>
        <w:rPr>
          <w:color w:val="000000" w:themeColor="text1"/>
        </w:rPr>
      </w:pPr>
      <w:r w:rsidRPr="00D734B7">
        <w:rPr>
          <w:color w:val="000000" w:themeColor="text1"/>
        </w:rPr>
        <w:t>Functional Status.</w:t>
      </w:r>
    </w:p>
    <w:p w14:paraId="74B9D338"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Pennsylvania FED also includes an Item G in the scoring. Item G is defined in the attachments to the bulletin.</w:t>
      </w:r>
    </w:p>
    <w:p w14:paraId="639D7DE5" w14:textId="08FAE680" w:rsidR="00A615A0" w:rsidRPr="00D734B7" w:rsidRDefault="00E1768B" w:rsidP="00420EBC">
      <w:pPr>
        <w:pStyle w:val="Heading3"/>
        <w:rPr>
          <w:color w:val="000000" w:themeColor="text1"/>
        </w:rPr>
      </w:pPr>
      <w:bookmarkStart w:id="17" w:name="_Toc215931857"/>
      <w:r w:rsidRPr="00D734B7">
        <w:rPr>
          <w:color w:val="000000" w:themeColor="text1"/>
        </w:rPr>
        <w:t xml:space="preserve">FED and </w:t>
      </w:r>
      <w:proofErr w:type="spellStart"/>
      <w:r w:rsidRPr="00D734B7">
        <w:rPr>
          <w:color w:val="000000" w:themeColor="text1"/>
        </w:rPr>
        <w:t>interRAI</w:t>
      </w:r>
      <w:proofErr w:type="spellEnd"/>
      <w:r w:rsidRPr="00D734B7">
        <w:rPr>
          <w:color w:val="000000" w:themeColor="text1"/>
        </w:rPr>
        <w:t xml:space="preserve"> Additional Elements</w:t>
      </w:r>
      <w:bookmarkEnd w:id="17"/>
    </w:p>
    <w:p w14:paraId="7C30C4E2" w14:textId="77777777" w:rsidR="00E1768B" w:rsidRPr="00D734B7" w:rsidRDefault="00E1768B" w:rsidP="00945CAA">
      <w:pPr>
        <w:rPr>
          <w:color w:val="000000" w:themeColor="text1"/>
        </w:rPr>
      </w:pPr>
      <w:r w:rsidRPr="00D734B7">
        <w:rPr>
          <w:color w:val="000000" w:themeColor="text1"/>
        </w:rPr>
        <w:t>The Comprehensive Needs Assessment includes elements beyond basic eligibility determinations including:</w:t>
      </w:r>
    </w:p>
    <w:p w14:paraId="75FE1749" w14:textId="77777777" w:rsidR="00E1768B" w:rsidRPr="00D734B7" w:rsidRDefault="00E1768B" w:rsidP="00534E0E">
      <w:pPr>
        <w:pStyle w:val="ListParagraph"/>
        <w:numPr>
          <w:ilvl w:val="0"/>
          <w:numId w:val="3"/>
        </w:numPr>
        <w:rPr>
          <w:color w:val="000000" w:themeColor="text1"/>
        </w:rPr>
      </w:pPr>
      <w:r w:rsidRPr="00D734B7">
        <w:rPr>
          <w:color w:val="000000" w:themeColor="text1"/>
        </w:rPr>
        <w:t>Communication and Vision,</w:t>
      </w:r>
    </w:p>
    <w:p w14:paraId="2FD03372" w14:textId="77777777" w:rsidR="00E1768B" w:rsidRPr="00D734B7" w:rsidRDefault="00E1768B" w:rsidP="00534E0E">
      <w:pPr>
        <w:pStyle w:val="ListParagraph"/>
        <w:numPr>
          <w:ilvl w:val="0"/>
          <w:numId w:val="3"/>
        </w:numPr>
        <w:rPr>
          <w:color w:val="000000" w:themeColor="text1"/>
        </w:rPr>
      </w:pPr>
      <w:r w:rsidRPr="00D734B7">
        <w:rPr>
          <w:color w:val="000000" w:themeColor="text1"/>
        </w:rPr>
        <w:t>Psychological Well Being,</w:t>
      </w:r>
    </w:p>
    <w:p w14:paraId="615273DB" w14:textId="77777777" w:rsidR="00E1768B" w:rsidRPr="00D734B7" w:rsidRDefault="00E1768B" w:rsidP="00534E0E">
      <w:pPr>
        <w:pStyle w:val="ListParagraph"/>
        <w:numPr>
          <w:ilvl w:val="0"/>
          <w:numId w:val="3"/>
        </w:numPr>
        <w:rPr>
          <w:color w:val="000000" w:themeColor="text1"/>
        </w:rPr>
      </w:pPr>
      <w:r w:rsidRPr="00D734B7">
        <w:rPr>
          <w:color w:val="000000" w:themeColor="text1"/>
        </w:rPr>
        <w:t>Disease Diagnosis,</w:t>
      </w:r>
    </w:p>
    <w:p w14:paraId="3333716D" w14:textId="77777777" w:rsidR="00E1768B" w:rsidRPr="00D734B7" w:rsidRDefault="00E1768B" w:rsidP="00534E0E">
      <w:pPr>
        <w:pStyle w:val="ListParagraph"/>
        <w:numPr>
          <w:ilvl w:val="0"/>
          <w:numId w:val="3"/>
        </w:numPr>
        <w:rPr>
          <w:color w:val="000000" w:themeColor="text1"/>
        </w:rPr>
      </w:pPr>
      <w:r w:rsidRPr="00D734B7">
        <w:rPr>
          <w:color w:val="000000" w:themeColor="text1"/>
        </w:rPr>
        <w:t>Health Conditions,</w:t>
      </w:r>
    </w:p>
    <w:p w14:paraId="57932668" w14:textId="77777777" w:rsidR="00E1768B" w:rsidRPr="00D734B7" w:rsidRDefault="00E1768B" w:rsidP="00534E0E">
      <w:pPr>
        <w:pStyle w:val="ListParagraph"/>
        <w:numPr>
          <w:ilvl w:val="0"/>
          <w:numId w:val="3"/>
        </w:numPr>
        <w:rPr>
          <w:color w:val="000000" w:themeColor="text1"/>
        </w:rPr>
      </w:pPr>
      <w:r w:rsidRPr="00D734B7">
        <w:rPr>
          <w:color w:val="000000" w:themeColor="text1"/>
        </w:rPr>
        <w:t>Oral and Nutritional Status,</w:t>
      </w:r>
    </w:p>
    <w:p w14:paraId="43354C62" w14:textId="77777777" w:rsidR="00E1768B" w:rsidRPr="00D734B7" w:rsidRDefault="00E1768B" w:rsidP="00534E0E">
      <w:pPr>
        <w:pStyle w:val="ListParagraph"/>
        <w:numPr>
          <w:ilvl w:val="0"/>
          <w:numId w:val="3"/>
        </w:numPr>
        <w:rPr>
          <w:color w:val="000000" w:themeColor="text1"/>
        </w:rPr>
      </w:pPr>
      <w:r w:rsidRPr="00D734B7">
        <w:rPr>
          <w:color w:val="000000" w:themeColor="text1"/>
        </w:rPr>
        <w:t>Instrumental Activities of Daily Living,</w:t>
      </w:r>
    </w:p>
    <w:p w14:paraId="6EC014F4" w14:textId="77777777" w:rsidR="00E1768B" w:rsidRPr="00D734B7" w:rsidRDefault="00E1768B" w:rsidP="00534E0E">
      <w:pPr>
        <w:pStyle w:val="ListParagraph"/>
        <w:numPr>
          <w:ilvl w:val="0"/>
          <w:numId w:val="3"/>
        </w:numPr>
        <w:rPr>
          <w:color w:val="000000" w:themeColor="text1"/>
        </w:rPr>
      </w:pPr>
      <w:r w:rsidRPr="00D734B7">
        <w:rPr>
          <w:color w:val="000000" w:themeColor="text1"/>
        </w:rPr>
        <w:t>Skin Condition,</w:t>
      </w:r>
    </w:p>
    <w:p w14:paraId="59F0CE2C" w14:textId="77777777" w:rsidR="00E1768B" w:rsidRPr="00D734B7" w:rsidRDefault="00E1768B" w:rsidP="00534E0E">
      <w:pPr>
        <w:pStyle w:val="ListParagraph"/>
        <w:numPr>
          <w:ilvl w:val="0"/>
          <w:numId w:val="3"/>
        </w:numPr>
        <w:rPr>
          <w:color w:val="000000" w:themeColor="text1"/>
        </w:rPr>
      </w:pPr>
      <w:r w:rsidRPr="00D734B7">
        <w:rPr>
          <w:color w:val="000000" w:themeColor="text1"/>
        </w:rPr>
        <w:t>Medications,</w:t>
      </w:r>
    </w:p>
    <w:p w14:paraId="06225FCE" w14:textId="77777777" w:rsidR="00E1768B" w:rsidRPr="00D734B7" w:rsidRDefault="00E1768B" w:rsidP="00534E0E">
      <w:pPr>
        <w:pStyle w:val="ListParagraph"/>
        <w:numPr>
          <w:ilvl w:val="0"/>
          <w:numId w:val="3"/>
        </w:numPr>
        <w:rPr>
          <w:color w:val="000000" w:themeColor="text1"/>
        </w:rPr>
      </w:pPr>
      <w:r w:rsidRPr="00D734B7">
        <w:rPr>
          <w:color w:val="000000" w:themeColor="text1"/>
        </w:rPr>
        <w:t>Responsibility,</w:t>
      </w:r>
    </w:p>
    <w:p w14:paraId="6FC211F0" w14:textId="77777777" w:rsidR="00E1768B" w:rsidRPr="00D734B7" w:rsidRDefault="00E1768B" w:rsidP="00534E0E">
      <w:pPr>
        <w:pStyle w:val="ListParagraph"/>
        <w:numPr>
          <w:ilvl w:val="0"/>
          <w:numId w:val="3"/>
        </w:numPr>
        <w:rPr>
          <w:color w:val="000000" w:themeColor="text1"/>
        </w:rPr>
      </w:pPr>
      <w:r w:rsidRPr="00D734B7">
        <w:rPr>
          <w:color w:val="000000" w:themeColor="text1"/>
        </w:rPr>
        <w:t>Social Supports,</w:t>
      </w:r>
    </w:p>
    <w:p w14:paraId="0337158F" w14:textId="77777777" w:rsidR="00E1768B" w:rsidRPr="00D734B7" w:rsidRDefault="00E1768B" w:rsidP="00534E0E">
      <w:pPr>
        <w:pStyle w:val="ListParagraph"/>
        <w:numPr>
          <w:ilvl w:val="0"/>
          <w:numId w:val="3"/>
        </w:numPr>
        <w:rPr>
          <w:color w:val="000000" w:themeColor="text1"/>
        </w:rPr>
      </w:pPr>
      <w:r w:rsidRPr="00D734B7">
        <w:rPr>
          <w:color w:val="000000" w:themeColor="text1"/>
        </w:rPr>
        <w:t>Environmental Assessment,</w:t>
      </w:r>
    </w:p>
    <w:p w14:paraId="7342BBAE" w14:textId="77777777" w:rsidR="00E1768B" w:rsidRPr="00D734B7" w:rsidRDefault="00E1768B" w:rsidP="00534E0E">
      <w:pPr>
        <w:pStyle w:val="ListParagraph"/>
        <w:numPr>
          <w:ilvl w:val="0"/>
          <w:numId w:val="3"/>
        </w:numPr>
        <w:rPr>
          <w:color w:val="000000" w:themeColor="text1"/>
        </w:rPr>
      </w:pPr>
      <w:r w:rsidRPr="00D734B7">
        <w:rPr>
          <w:color w:val="000000" w:themeColor="text1"/>
        </w:rPr>
        <w:t>Discharge and Potential Overall Status,</w:t>
      </w:r>
    </w:p>
    <w:p w14:paraId="6226ECE9" w14:textId="77777777" w:rsidR="00E1768B" w:rsidRPr="00D734B7" w:rsidRDefault="00E1768B" w:rsidP="00534E0E">
      <w:pPr>
        <w:pStyle w:val="ListParagraph"/>
        <w:numPr>
          <w:ilvl w:val="0"/>
          <w:numId w:val="3"/>
        </w:numPr>
        <w:rPr>
          <w:color w:val="000000" w:themeColor="text1"/>
        </w:rPr>
      </w:pPr>
      <w:r w:rsidRPr="00D734B7">
        <w:rPr>
          <w:color w:val="000000" w:themeColor="text1"/>
        </w:rPr>
        <w:t>Discharge, and</w:t>
      </w:r>
    </w:p>
    <w:p w14:paraId="0A5B8A61" w14:textId="77777777" w:rsidR="00E1768B" w:rsidRPr="00D734B7" w:rsidRDefault="00E1768B" w:rsidP="00534E0E">
      <w:pPr>
        <w:pStyle w:val="ListParagraph"/>
        <w:numPr>
          <w:ilvl w:val="0"/>
          <w:numId w:val="3"/>
        </w:numPr>
        <w:rPr>
          <w:rFonts w:ascii="Microsoft Sans Serif" w:hAnsi="Microsoft Sans Serif" w:cs="Microsoft Sans Serif"/>
          <w:color w:val="000000" w:themeColor="text1"/>
          <w:sz w:val="17"/>
          <w:szCs w:val="17"/>
        </w:rPr>
      </w:pPr>
      <w:r w:rsidRPr="00D734B7">
        <w:rPr>
          <w:color w:val="000000" w:themeColor="text1"/>
        </w:rPr>
        <w:t>Assessment Information.</w:t>
      </w:r>
    </w:p>
    <w:p w14:paraId="2A5A93CD" w14:textId="359BAB0A" w:rsidR="00A615A0" w:rsidRPr="00D734B7" w:rsidRDefault="00E1768B">
      <w:pPr>
        <w:pStyle w:val="Heading2"/>
        <w:rPr>
          <w:color w:val="000000" w:themeColor="text1"/>
        </w:rPr>
      </w:pPr>
      <w:bookmarkStart w:id="18" w:name="_Toc215931858"/>
      <w:r w:rsidRPr="00D734B7">
        <w:rPr>
          <w:color w:val="000000" w:themeColor="text1"/>
        </w:rPr>
        <w:t>Functional Eligibility Determination (FED)</w:t>
      </w:r>
      <w:bookmarkEnd w:id="18"/>
    </w:p>
    <w:p w14:paraId="2D67F2A1" w14:textId="1ECBA51A"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Let’s move to a review of the categories, definitions, and coding on the Functional Eligibility Determination.</w:t>
      </w:r>
    </w:p>
    <w:p w14:paraId="664A436D" w14:textId="56C1FB88" w:rsidR="00A615A0" w:rsidRPr="00D734B7" w:rsidRDefault="00E1768B" w:rsidP="00420EBC">
      <w:pPr>
        <w:pStyle w:val="Heading3"/>
        <w:rPr>
          <w:color w:val="000000" w:themeColor="text1"/>
        </w:rPr>
      </w:pPr>
      <w:bookmarkStart w:id="19" w:name="_Toc215931859"/>
      <w:r w:rsidRPr="00D734B7">
        <w:rPr>
          <w:color w:val="000000" w:themeColor="text1"/>
        </w:rPr>
        <w:t>Coding Comments</w:t>
      </w:r>
      <w:bookmarkEnd w:id="19"/>
    </w:p>
    <w:p w14:paraId="02A06A7F" w14:textId="7CD845D9" w:rsidR="00E1768B" w:rsidRPr="00D734B7" w:rsidRDefault="00E1768B" w:rsidP="00534E0E">
      <w:pPr>
        <w:rPr>
          <w:rFonts w:cs="Arial"/>
          <w:color w:val="000000" w:themeColor="text1"/>
        </w:rPr>
      </w:pPr>
      <w:r w:rsidRPr="00D734B7">
        <w:rPr>
          <w:rFonts w:cs="Arial"/>
          <w:color w:val="000000" w:themeColor="text1"/>
        </w:rPr>
        <w:t>Before we look at items that determine eligibility and the coding for each item, let’s ensure that all assessors understand the importance of comments, especially to justify or clarify borderline coding. Comments assist other professionals in determinations, person-centered service planning, and working with hearings and appeals.</w:t>
      </w:r>
    </w:p>
    <w:p w14:paraId="414ECE71" w14:textId="77777777" w:rsidR="00E1768B" w:rsidRPr="00D734B7" w:rsidRDefault="00E1768B" w:rsidP="00534E0E">
      <w:pPr>
        <w:rPr>
          <w:rFonts w:cs="Arial"/>
          <w:color w:val="000000" w:themeColor="text1"/>
        </w:rPr>
      </w:pPr>
      <w:r w:rsidRPr="00D734B7">
        <w:rPr>
          <w:rFonts w:cs="Arial"/>
          <w:color w:val="000000" w:themeColor="text1"/>
        </w:rPr>
        <w:t>Comments are necessary in many situations. Whenever the coded selection is “Activity Did Not Occur,” assessors must enter a comment that provides context as to why. For example, if a participant did not shower in the three-day observation period, the assessor would code an “8” and then enter comments about a shower schedule that did not fall in the observation period.</w:t>
      </w:r>
    </w:p>
    <w:p w14:paraId="3A9B4995" w14:textId="77777777" w:rsidR="00900C16" w:rsidRPr="00D734B7" w:rsidRDefault="00E1768B" w:rsidP="00534E0E">
      <w:pPr>
        <w:rPr>
          <w:rFonts w:cs="Arial"/>
          <w:color w:val="000000" w:themeColor="text1"/>
        </w:rPr>
      </w:pPr>
      <w:r w:rsidRPr="00D734B7">
        <w:rPr>
          <w:rFonts w:cs="Arial"/>
          <w:color w:val="000000" w:themeColor="text1"/>
        </w:rPr>
        <w:t>Additionally, assessors and service coordinators should follow these best practices.</w:t>
      </w:r>
    </w:p>
    <w:p w14:paraId="4A4A7CE6" w14:textId="77777777" w:rsidR="00310721" w:rsidRPr="00D734B7" w:rsidRDefault="00310721" w:rsidP="00420EBC">
      <w:pPr>
        <w:pStyle w:val="Heading4"/>
        <w:rPr>
          <w:color w:val="000000" w:themeColor="text1"/>
        </w:rPr>
      </w:pPr>
      <w:r w:rsidRPr="00D734B7">
        <w:rPr>
          <w:color w:val="000000" w:themeColor="text1"/>
        </w:rPr>
        <w:lastRenderedPageBreak/>
        <w:t>Assessors and Service Coordinators Best Practices:</w:t>
      </w:r>
    </w:p>
    <w:p w14:paraId="26A666B0"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Focus comments on information that affects care planning, risk, or interpretation of coded items.</w:t>
      </w:r>
    </w:p>
    <w:p w14:paraId="58BE2D53"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Avoid simply restating what’s already coded in the assessment in a comment.</w:t>
      </w:r>
    </w:p>
    <w:p w14:paraId="12DDBC9F"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Include details that explain context, changes, or exceptions.</w:t>
      </w:r>
    </w:p>
    <w:p w14:paraId="5F99CFB7"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Use comments to justify or clarify unusual or borderline coding.</w:t>
      </w:r>
    </w:p>
    <w:p w14:paraId="2AC282E9"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Explain why an item was coded a certain way, especially if it might seem inconsistent with other data.</w:t>
      </w:r>
    </w:p>
    <w:p w14:paraId="0324FFE9"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Specify the timeline and contributing factors if a client’s status has improved or declined. This supports reassessment and quality monitoring.</w:t>
      </w:r>
    </w:p>
    <w:p w14:paraId="3D7A4A43"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Use objective, professional language.</w:t>
      </w:r>
    </w:p>
    <w:p w14:paraId="177FC429"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Avoid subjective or emotional terms (e.g., “pleasant lady,” “difficult family”).</w:t>
      </w:r>
    </w:p>
    <w:p w14:paraId="1B951EE1" w14:textId="77777777" w:rsidR="00310721" w:rsidRPr="00D734B7" w:rsidRDefault="00310721" w:rsidP="00310721">
      <w:pPr>
        <w:pStyle w:val="ListParagraph"/>
        <w:numPr>
          <w:ilvl w:val="0"/>
          <w:numId w:val="14"/>
        </w:numPr>
        <w:rPr>
          <w:rFonts w:cs="Arial"/>
          <w:color w:val="000000" w:themeColor="text1"/>
        </w:rPr>
      </w:pPr>
      <w:r w:rsidRPr="00D734B7">
        <w:rPr>
          <w:rFonts w:cs="Arial"/>
          <w:color w:val="000000" w:themeColor="text1"/>
        </w:rPr>
        <w:t>Stick to observed facts, quotes, or verified reports.</w:t>
      </w:r>
    </w:p>
    <w:p w14:paraId="6B0D6AA9" w14:textId="35117EDF" w:rsidR="00A615A0" w:rsidRPr="00D734B7" w:rsidRDefault="00E1768B">
      <w:pPr>
        <w:pStyle w:val="Heading2"/>
        <w:rPr>
          <w:color w:val="000000" w:themeColor="text1"/>
        </w:rPr>
      </w:pPr>
      <w:bookmarkStart w:id="20" w:name="_Toc215931860"/>
      <w:r w:rsidRPr="00D734B7">
        <w:rPr>
          <w:color w:val="000000" w:themeColor="text1"/>
        </w:rPr>
        <w:t>FED – Section A</w:t>
      </w:r>
      <w:bookmarkEnd w:id="20"/>
    </w:p>
    <w:p w14:paraId="22C983D7"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first section, Section A, is Identification.</w:t>
      </w:r>
      <w:r w:rsidRPr="00D734B7">
        <w:rPr>
          <w:color w:val="000000" w:themeColor="text1"/>
          <w:sz w:val="32"/>
          <w:szCs w:val="32"/>
        </w:rPr>
        <w:t xml:space="preserve"> </w:t>
      </w:r>
      <w:r w:rsidRPr="00D734B7">
        <w:rPr>
          <w:color w:val="000000" w:themeColor="text1"/>
        </w:rPr>
        <w:t>There are three key elements in identification that are important for all assessors to know. We’ll start with identification data.</w:t>
      </w:r>
    </w:p>
    <w:p w14:paraId="7B13FF77" w14:textId="672091BF" w:rsidR="00A615A0" w:rsidRPr="00D734B7" w:rsidRDefault="00E1768B" w:rsidP="00420EBC">
      <w:pPr>
        <w:pStyle w:val="Heading3"/>
        <w:rPr>
          <w:color w:val="000000" w:themeColor="text1"/>
        </w:rPr>
      </w:pPr>
      <w:bookmarkStart w:id="21" w:name="_Toc215931861"/>
      <w:r w:rsidRPr="00D734B7">
        <w:rPr>
          <w:color w:val="000000" w:themeColor="text1"/>
        </w:rPr>
        <w:t>FED – Section A – Identification</w:t>
      </w:r>
      <w:bookmarkEnd w:id="21"/>
    </w:p>
    <w:p w14:paraId="5F0594C6"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Assessors and service coordinators must enter the identification data as it is received in the enrollment referral. If ID items do not match, the process stalls. If the identification information has changed, service coordinators must ensure that the person’s information is updated in all systems.</w:t>
      </w:r>
    </w:p>
    <w:p w14:paraId="6ECEFE6F" w14:textId="1709769E" w:rsidR="00A615A0" w:rsidRPr="00D734B7" w:rsidRDefault="00E1768B" w:rsidP="00420EBC">
      <w:pPr>
        <w:pStyle w:val="Heading3"/>
        <w:rPr>
          <w:color w:val="000000" w:themeColor="text1"/>
        </w:rPr>
      </w:pPr>
      <w:bookmarkStart w:id="22" w:name="_Toc215931862"/>
      <w:r w:rsidRPr="00D734B7">
        <w:rPr>
          <w:color w:val="000000" w:themeColor="text1"/>
        </w:rPr>
        <w:t>FED – Section A –</w:t>
      </w:r>
      <w:r w:rsidR="00900C16" w:rsidRPr="00D734B7">
        <w:rPr>
          <w:color w:val="000000" w:themeColor="text1"/>
        </w:rPr>
        <w:t xml:space="preserve"> </w:t>
      </w:r>
      <w:r w:rsidRPr="00D734B7">
        <w:rPr>
          <w:color w:val="000000" w:themeColor="text1"/>
        </w:rPr>
        <w:t>Reference Date</w:t>
      </w:r>
      <w:bookmarkEnd w:id="22"/>
    </w:p>
    <w:p w14:paraId="6193A426" w14:textId="7D9DA199" w:rsidR="00E1768B" w:rsidRPr="00D734B7" w:rsidRDefault="00E1768B" w:rsidP="00945CAA">
      <w:pPr>
        <w:rPr>
          <w:color w:val="000000" w:themeColor="text1"/>
        </w:rPr>
      </w:pPr>
      <w:r w:rsidRPr="00D734B7">
        <w:rPr>
          <w:color w:val="000000" w:themeColor="text1"/>
        </w:rPr>
        <w:t>Next, let’s review the assessment reference date. The assessment reference date is the date on which the assessor or service coordinator met with the individual. The three-day observation period is based on the assessment reference date.</w:t>
      </w:r>
      <w:r w:rsidR="00900C16" w:rsidRPr="00D734B7">
        <w:rPr>
          <w:color w:val="000000" w:themeColor="text1"/>
        </w:rPr>
        <w:t xml:space="preserve"> </w:t>
      </w:r>
      <w:r w:rsidRPr="00D734B7">
        <w:rPr>
          <w:color w:val="000000" w:themeColor="text1"/>
        </w:rPr>
        <w:t>The three-day observation period includes the assessment reference date and the two days before.</w:t>
      </w:r>
    </w:p>
    <w:p w14:paraId="2AD72ADD" w14:textId="77777777" w:rsidR="00E1768B" w:rsidRPr="00D734B7" w:rsidRDefault="00E1768B" w:rsidP="00945CAA">
      <w:pPr>
        <w:rPr>
          <w:color w:val="000000" w:themeColor="text1"/>
        </w:rPr>
      </w:pPr>
      <w:r w:rsidRPr="00D734B7">
        <w:rPr>
          <w:color w:val="000000" w:themeColor="text1"/>
        </w:rPr>
        <w:t>For example:</w:t>
      </w:r>
    </w:p>
    <w:p w14:paraId="1B943555" w14:textId="77777777" w:rsidR="00E1768B" w:rsidRPr="00D734B7" w:rsidRDefault="00E1768B" w:rsidP="00900C16">
      <w:pPr>
        <w:pStyle w:val="ListParagraph"/>
        <w:numPr>
          <w:ilvl w:val="0"/>
          <w:numId w:val="4"/>
        </w:numPr>
        <w:rPr>
          <w:color w:val="000000" w:themeColor="text1"/>
        </w:rPr>
      </w:pPr>
      <w:r w:rsidRPr="00D734B7">
        <w:rPr>
          <w:color w:val="000000" w:themeColor="text1"/>
        </w:rPr>
        <w:t>If you meet the person at their home on the 24th of the month to do the assessment, the Assessment Reference Date is the 24th.</w:t>
      </w:r>
    </w:p>
    <w:p w14:paraId="1FCEB793" w14:textId="77777777" w:rsidR="00E1768B" w:rsidRPr="00D734B7" w:rsidRDefault="00E1768B" w:rsidP="00900C16">
      <w:pPr>
        <w:pStyle w:val="ListParagraph"/>
        <w:numPr>
          <w:ilvl w:val="0"/>
          <w:numId w:val="4"/>
        </w:numPr>
        <w:rPr>
          <w:color w:val="000000" w:themeColor="text1"/>
        </w:rPr>
      </w:pPr>
      <w:r w:rsidRPr="00D734B7">
        <w:rPr>
          <w:color w:val="000000" w:themeColor="text1"/>
        </w:rPr>
        <w:t>The three-day observation period would include: 22nd, 23rd, and 24th.</w:t>
      </w:r>
    </w:p>
    <w:p w14:paraId="586556FF" w14:textId="77777777" w:rsidR="00E1768B" w:rsidRPr="00D734B7" w:rsidRDefault="00E1768B" w:rsidP="00900C16">
      <w:pPr>
        <w:pStyle w:val="ListParagraph"/>
        <w:numPr>
          <w:ilvl w:val="0"/>
          <w:numId w:val="4"/>
        </w:numPr>
        <w:rPr>
          <w:color w:val="000000" w:themeColor="text1"/>
        </w:rPr>
      </w:pPr>
      <w:r w:rsidRPr="00D734B7">
        <w:rPr>
          <w:color w:val="000000" w:themeColor="text1"/>
        </w:rPr>
        <w:t>If you come back to complete the assessment on the 28th, the three-day observation period is still: 22nd, 23rd, 24th.</w:t>
      </w:r>
    </w:p>
    <w:p w14:paraId="7384CB34" w14:textId="1CC6EF4B" w:rsidR="00A615A0" w:rsidRPr="00D734B7" w:rsidRDefault="00E1768B" w:rsidP="00420EBC">
      <w:pPr>
        <w:pStyle w:val="Heading3"/>
        <w:rPr>
          <w:color w:val="000000" w:themeColor="text1"/>
        </w:rPr>
      </w:pPr>
      <w:bookmarkStart w:id="23" w:name="_Toc215931863"/>
      <w:r w:rsidRPr="00D734B7">
        <w:rPr>
          <w:color w:val="000000" w:themeColor="text1"/>
        </w:rPr>
        <w:lastRenderedPageBreak/>
        <w:t>FED – Section A – Living Arrangement</w:t>
      </w:r>
      <w:bookmarkEnd w:id="23"/>
    </w:p>
    <w:p w14:paraId="0306F04F" w14:textId="2BB5A41E" w:rsidR="00E1768B" w:rsidRPr="00D734B7" w:rsidRDefault="00E1768B" w:rsidP="00945CAA">
      <w:pPr>
        <w:rPr>
          <w:color w:val="000000" w:themeColor="text1"/>
        </w:rPr>
      </w:pPr>
      <w:r w:rsidRPr="00D734B7">
        <w:rPr>
          <w:color w:val="000000" w:themeColor="text1"/>
        </w:rPr>
        <w:t xml:space="preserve">The third element is living arrangements. In the </w:t>
      </w:r>
      <w:proofErr w:type="spellStart"/>
      <w:r w:rsidRPr="00D734B7">
        <w:rPr>
          <w:color w:val="000000" w:themeColor="text1"/>
        </w:rPr>
        <w:t>interRAI</w:t>
      </w:r>
      <w:proofErr w:type="spellEnd"/>
      <w:r w:rsidRPr="00D734B7">
        <w:rPr>
          <w:color w:val="000000" w:themeColor="text1"/>
        </w:rPr>
        <w:t xml:space="preserve"> assessment phase, the MCO-SC may ask more open-ended questions about the living arrangement to determine if changes would benefit the participant.</w:t>
      </w:r>
    </w:p>
    <w:p w14:paraId="4274E2B9" w14:textId="1C76476F" w:rsidR="00900C16" w:rsidRPr="00D734B7" w:rsidRDefault="00E1768B" w:rsidP="00945CAA">
      <w:pPr>
        <w:rPr>
          <w:color w:val="000000" w:themeColor="text1"/>
        </w:rPr>
      </w:pPr>
      <w:r w:rsidRPr="00D734B7">
        <w:rPr>
          <w:color w:val="000000" w:themeColor="text1"/>
        </w:rPr>
        <w:t>Let’s explore a couple examples.</w:t>
      </w:r>
    </w:p>
    <w:p w14:paraId="4C872DD1" w14:textId="73CFFDD8" w:rsidR="00A615A0" w:rsidRPr="00D734B7" w:rsidRDefault="00E1768B" w:rsidP="00420EBC">
      <w:pPr>
        <w:pStyle w:val="Heading4"/>
        <w:rPr>
          <w:color w:val="000000" w:themeColor="text1"/>
        </w:rPr>
      </w:pPr>
      <w:r w:rsidRPr="00D734B7">
        <w:rPr>
          <w:color w:val="000000" w:themeColor="text1"/>
        </w:rPr>
        <w:t>Mr. Jones</w:t>
      </w:r>
    </w:p>
    <w:p w14:paraId="1D0DF7B4" w14:textId="4FF05047" w:rsidR="00875DCE" w:rsidRPr="00D734B7" w:rsidRDefault="00875DCE" w:rsidP="00875DCE">
      <w:pPr>
        <w:rPr>
          <w:noProof/>
          <w:color w:val="000000" w:themeColor="text1"/>
        </w:rPr>
      </w:pPr>
      <w:r w:rsidRPr="00D734B7">
        <w:rPr>
          <w:noProof/>
          <w:color w:val="000000" w:themeColor="text1"/>
        </w:rPr>
        <w:t>Mr. Jones is a man in his early thirties. He was injured in a traffic incident and is paralyzed from the chest down.</w:t>
      </w:r>
    </w:p>
    <w:p w14:paraId="485134B4" w14:textId="1C126069" w:rsidR="00875DCE" w:rsidRPr="00D734B7" w:rsidRDefault="00875DCE" w:rsidP="00875DCE">
      <w:pPr>
        <w:rPr>
          <w:noProof/>
          <w:color w:val="000000" w:themeColor="text1"/>
        </w:rPr>
      </w:pPr>
      <w:r w:rsidRPr="00D734B7">
        <w:rPr>
          <w:noProof/>
          <w:color w:val="000000" w:themeColor="text1"/>
        </w:rPr>
        <w:t>After his initial hospital stay, he was transferred to a nursing facility for long-term care. He has used all of his private resources and insurance.</w:t>
      </w:r>
    </w:p>
    <w:p w14:paraId="689AC8E3" w14:textId="7F8592EF" w:rsidR="00875DCE" w:rsidRPr="00D734B7" w:rsidRDefault="00875DCE" w:rsidP="00875DCE">
      <w:pPr>
        <w:rPr>
          <w:noProof/>
          <w:color w:val="000000" w:themeColor="text1"/>
        </w:rPr>
      </w:pPr>
      <w:r w:rsidRPr="00D734B7">
        <w:rPr>
          <w:noProof/>
          <w:color w:val="000000" w:themeColor="text1"/>
        </w:rPr>
        <w:t xml:space="preserve">He now seeks financial support through the </w:t>
      </w:r>
      <w:r w:rsidR="00313490" w:rsidRPr="00D734B7">
        <w:rPr>
          <w:noProof/>
          <w:color w:val="000000" w:themeColor="text1"/>
        </w:rPr>
        <w:t>CHC</w:t>
      </w:r>
      <w:r w:rsidRPr="00D734B7">
        <w:rPr>
          <w:noProof/>
          <w:color w:val="000000" w:themeColor="text1"/>
        </w:rPr>
        <w:t xml:space="preserve"> waiver program. An Aging Well PA assessor is sent to perform the initial eligibility determination.</w:t>
      </w:r>
    </w:p>
    <w:p w14:paraId="14CE3020" w14:textId="15C9F886" w:rsidR="00875DCE" w:rsidRPr="00D734B7" w:rsidRDefault="00875DCE" w:rsidP="00875DCE">
      <w:pPr>
        <w:rPr>
          <w:noProof/>
          <w:color w:val="000000" w:themeColor="text1"/>
        </w:rPr>
      </w:pPr>
      <w:r w:rsidRPr="00D734B7">
        <w:rPr>
          <w:noProof/>
          <w:color w:val="000000" w:themeColor="text1"/>
        </w:rPr>
        <w:t>Mr. Jones is not happy with his living situation. His son becomes despondent when visiting him for many reasons. He is physically deteriorating and has no control over his life.</w:t>
      </w:r>
    </w:p>
    <w:p w14:paraId="7433D418" w14:textId="68268F4A" w:rsidR="00900C16" w:rsidRPr="00D734B7" w:rsidRDefault="00875DCE" w:rsidP="00875DCE">
      <w:pPr>
        <w:rPr>
          <w:noProof/>
          <w:color w:val="000000" w:themeColor="text1"/>
        </w:rPr>
      </w:pPr>
      <w:r w:rsidRPr="00D734B7">
        <w:rPr>
          <w:noProof/>
          <w:color w:val="000000" w:themeColor="text1"/>
        </w:rPr>
        <w:t>He expresses concerns that he will die if he stays in his current situation.</w:t>
      </w:r>
    </w:p>
    <w:p w14:paraId="00040D15" w14:textId="413CCAFA" w:rsidR="00A615A0" w:rsidRPr="00D734B7" w:rsidRDefault="00E1768B" w:rsidP="00420EBC">
      <w:pPr>
        <w:pStyle w:val="Heading4"/>
        <w:rPr>
          <w:color w:val="000000" w:themeColor="text1"/>
        </w:rPr>
      </w:pPr>
      <w:r w:rsidRPr="00D734B7">
        <w:rPr>
          <w:color w:val="000000" w:themeColor="text1"/>
        </w:rPr>
        <w:t>Mrs. Smith</w:t>
      </w:r>
    </w:p>
    <w:p w14:paraId="2DF73093" w14:textId="4B508E7C" w:rsidR="00657B2F" w:rsidRPr="00D734B7" w:rsidRDefault="00657B2F" w:rsidP="00657B2F">
      <w:pPr>
        <w:rPr>
          <w:noProof/>
          <w:color w:val="000000" w:themeColor="text1"/>
        </w:rPr>
      </w:pPr>
      <w:r w:rsidRPr="00D734B7">
        <w:rPr>
          <w:noProof/>
          <w:color w:val="000000" w:themeColor="text1"/>
        </w:rPr>
        <w:t>Mrs. Smith is an 80-year-old woman whose chronic conditions require support that she can no longer afford.</w:t>
      </w:r>
    </w:p>
    <w:p w14:paraId="0A08850F" w14:textId="5F765260" w:rsidR="00657B2F" w:rsidRPr="00D734B7" w:rsidRDefault="00657B2F" w:rsidP="00657B2F">
      <w:pPr>
        <w:rPr>
          <w:noProof/>
          <w:color w:val="000000" w:themeColor="text1"/>
        </w:rPr>
      </w:pPr>
      <w:r w:rsidRPr="00D734B7">
        <w:rPr>
          <w:noProof/>
          <w:color w:val="000000" w:themeColor="text1"/>
        </w:rPr>
        <w:t xml:space="preserve">She seeks assistance through the </w:t>
      </w:r>
      <w:r w:rsidR="00313490" w:rsidRPr="00D734B7">
        <w:rPr>
          <w:noProof/>
          <w:color w:val="000000" w:themeColor="text1"/>
        </w:rPr>
        <w:t>CHC</w:t>
      </w:r>
      <w:r w:rsidRPr="00D734B7">
        <w:rPr>
          <w:noProof/>
          <w:color w:val="000000" w:themeColor="text1"/>
        </w:rPr>
        <w:t xml:space="preserve"> waiver program.</w:t>
      </w:r>
    </w:p>
    <w:p w14:paraId="109C080B" w14:textId="681E2A73" w:rsidR="00657B2F" w:rsidRPr="00D734B7" w:rsidRDefault="00657B2F" w:rsidP="00657B2F">
      <w:pPr>
        <w:rPr>
          <w:noProof/>
          <w:color w:val="000000" w:themeColor="text1"/>
        </w:rPr>
      </w:pPr>
      <w:r w:rsidRPr="00D734B7">
        <w:rPr>
          <w:noProof/>
          <w:color w:val="000000" w:themeColor="text1"/>
        </w:rPr>
        <w:t>She lives in an apartment building in a small city. She expresses concerns for her safety. There is no elevator, and she is on the fourth floor.</w:t>
      </w:r>
    </w:p>
    <w:p w14:paraId="47B8B0D1" w14:textId="2C9A075C" w:rsidR="00657B2F" w:rsidRPr="00D734B7" w:rsidRDefault="00657B2F" w:rsidP="00657B2F">
      <w:pPr>
        <w:rPr>
          <w:noProof/>
          <w:color w:val="000000" w:themeColor="text1"/>
        </w:rPr>
      </w:pPr>
      <w:r w:rsidRPr="00D734B7">
        <w:rPr>
          <w:noProof/>
          <w:color w:val="000000" w:themeColor="text1"/>
        </w:rPr>
        <w:t>She can no longer manage the stairs, but would still like to get out of her apartment. She is fearful on a daily basis.</w:t>
      </w:r>
    </w:p>
    <w:p w14:paraId="36769ACC" w14:textId="00061CD9" w:rsidR="00A615A0" w:rsidRPr="00D734B7" w:rsidRDefault="00657B2F" w:rsidP="00657B2F">
      <w:pPr>
        <w:rPr>
          <w:noProof/>
          <w:color w:val="000000" w:themeColor="text1"/>
        </w:rPr>
      </w:pPr>
      <w:r w:rsidRPr="00D734B7">
        <w:rPr>
          <w:noProof/>
          <w:color w:val="000000" w:themeColor="text1"/>
        </w:rPr>
        <w:t>These concerns should be noted in the assessment. Her living arrangement is having a direct effect on her ability to live fully.</w:t>
      </w:r>
    </w:p>
    <w:p w14:paraId="7F1D587A" w14:textId="194751D1" w:rsidR="00A615A0" w:rsidRPr="00D734B7" w:rsidRDefault="00E1768B" w:rsidP="00420EBC">
      <w:pPr>
        <w:pStyle w:val="Heading2"/>
        <w:rPr>
          <w:color w:val="000000" w:themeColor="text1"/>
        </w:rPr>
      </w:pPr>
      <w:bookmarkStart w:id="24" w:name="_Toc215931864"/>
      <w:r w:rsidRPr="00D734B7">
        <w:rPr>
          <w:color w:val="000000" w:themeColor="text1"/>
        </w:rPr>
        <w:t>Section B</w:t>
      </w:r>
      <w:bookmarkEnd w:id="24"/>
    </w:p>
    <w:p w14:paraId="2B82E222"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FED Section B determines individuals’ performance in several areas, including cognitive skills for decision-making, memory and recall, periodic disordered thinking and awareness, and acute changes in mental status. Let’s review all four aspects, starting with cognitive skills for decision-making.</w:t>
      </w:r>
    </w:p>
    <w:p w14:paraId="7F42D216" w14:textId="3A615366" w:rsidR="00A615A0" w:rsidRPr="00D734B7" w:rsidRDefault="00E1768B" w:rsidP="00420EBC">
      <w:pPr>
        <w:pStyle w:val="Heading3"/>
        <w:rPr>
          <w:color w:val="000000" w:themeColor="text1"/>
        </w:rPr>
      </w:pPr>
      <w:bookmarkStart w:id="25" w:name="_Toc215931865"/>
      <w:r w:rsidRPr="00D734B7">
        <w:rPr>
          <w:color w:val="000000" w:themeColor="text1"/>
        </w:rPr>
        <w:lastRenderedPageBreak/>
        <w:t>FED – Section B.1 – Cognition</w:t>
      </w:r>
      <w:bookmarkEnd w:id="25"/>
    </w:p>
    <w:p w14:paraId="438921D3" w14:textId="59B6DCE3" w:rsidR="00E1768B" w:rsidRPr="00D734B7" w:rsidRDefault="00E1768B" w:rsidP="00945CAA">
      <w:pPr>
        <w:rPr>
          <w:color w:val="000000" w:themeColor="text1"/>
        </w:rPr>
      </w:pPr>
      <w:r w:rsidRPr="00D734B7">
        <w:rPr>
          <w:color w:val="000000" w:themeColor="text1"/>
        </w:rPr>
        <w:t>This element records the person's actual performance in making everyday decisions. This puts the assessor in a position to identify any mismatches between a person's abilities and their current level of performance.</w:t>
      </w:r>
    </w:p>
    <w:p w14:paraId="78D420C9" w14:textId="47818D07" w:rsidR="00E1768B" w:rsidRPr="00D734B7" w:rsidRDefault="00E1768B" w:rsidP="00945CAA">
      <w:pPr>
        <w:rPr>
          <w:color w:val="000000" w:themeColor="text1"/>
        </w:rPr>
      </w:pPr>
      <w:r w:rsidRPr="00D734B7">
        <w:rPr>
          <w:color w:val="000000" w:themeColor="text1"/>
        </w:rPr>
        <w:t>For example, the family may be making decisions for them without realizing the effect it has on the person's independence. Examples of decision-making include choosing their clothing, knowing when to eat meals, using clocks and calendars to plan their day, managing the day's events</w:t>
      </w:r>
      <w:r w:rsidR="00422BF1" w:rsidRPr="00D734B7">
        <w:rPr>
          <w:color w:val="000000" w:themeColor="text1"/>
        </w:rPr>
        <w:t>,</w:t>
      </w:r>
      <w:r w:rsidRPr="00D734B7">
        <w:rPr>
          <w:color w:val="000000" w:themeColor="text1"/>
        </w:rPr>
        <w:t xml:space="preserve"> and making prudent decisions concerning how and when to go out of the house.</w:t>
      </w:r>
    </w:p>
    <w:p w14:paraId="389855B3" w14:textId="77777777" w:rsidR="00E1768B" w:rsidRPr="00D734B7" w:rsidRDefault="00E1768B" w:rsidP="00945CAA">
      <w:pPr>
        <w:rPr>
          <w:color w:val="000000" w:themeColor="text1"/>
        </w:rPr>
      </w:pPr>
      <w:r w:rsidRPr="00D734B7">
        <w:rPr>
          <w:color w:val="000000" w:themeColor="text1"/>
        </w:rPr>
        <w:t>The process to make these determinations includes interviews and observations of the person. The assessor would also consult with a family member and review the events of each day. The discussion should focus on whether the person is actively making decisions about how to manage tasks of daily living and not whether the family or caregiver believes that the person might be capable of doing so. The intent of this item is to determine actual performance.</w:t>
      </w:r>
    </w:p>
    <w:p w14:paraId="2B75E69A" w14:textId="77777777" w:rsidR="00E1768B" w:rsidRPr="00D734B7" w:rsidRDefault="00E1768B" w:rsidP="00E80674">
      <w:pPr>
        <w:rPr>
          <w:color w:val="000000" w:themeColor="text1"/>
        </w:rPr>
      </w:pPr>
      <w:r w:rsidRPr="00D734B7">
        <w:rPr>
          <w:color w:val="000000" w:themeColor="text1"/>
        </w:rPr>
        <w:t>Please remember that if a family member has taken over decision-making responsibility and the person chooses not to participate in decision-making, the person should be considered as having impaired performance and decision-making. Their capability does not matter for this determination. That determination is based on their actual participation in decision-making about their own life.</w:t>
      </w:r>
    </w:p>
    <w:p w14:paraId="0CE30C71" w14:textId="4A80F1DC" w:rsidR="00A615A0" w:rsidRPr="00D734B7" w:rsidRDefault="00E1768B" w:rsidP="00C85A9C">
      <w:pPr>
        <w:pStyle w:val="Heading3"/>
        <w:rPr>
          <w:color w:val="000000" w:themeColor="text1"/>
        </w:rPr>
      </w:pPr>
      <w:bookmarkStart w:id="26" w:name="_Toc215931866"/>
      <w:r w:rsidRPr="00D734B7">
        <w:rPr>
          <w:color w:val="000000" w:themeColor="text1"/>
        </w:rPr>
        <w:t>FED – Section B.1 – Decision-Making Coding</w:t>
      </w:r>
      <w:bookmarkEnd w:id="26"/>
    </w:p>
    <w:p w14:paraId="186244E9" w14:textId="77777777" w:rsidR="00E1768B" w:rsidRPr="00D734B7" w:rsidRDefault="00E1768B" w:rsidP="00945CAA">
      <w:pPr>
        <w:rPr>
          <w:color w:val="000000" w:themeColor="text1"/>
        </w:rPr>
      </w:pPr>
      <w:r w:rsidRPr="00D734B7">
        <w:rPr>
          <w:color w:val="000000" w:themeColor="text1"/>
        </w:rPr>
        <w:t>The cognition decision-making coding elements include:</w:t>
      </w:r>
    </w:p>
    <w:p w14:paraId="79A34723" w14:textId="2B8FAD86" w:rsidR="00E1768B" w:rsidRPr="00D734B7" w:rsidRDefault="00E1768B" w:rsidP="00945CAA">
      <w:pPr>
        <w:rPr>
          <w:color w:val="000000" w:themeColor="text1"/>
        </w:rPr>
      </w:pPr>
      <w:r w:rsidRPr="00D734B7">
        <w:rPr>
          <w:color w:val="000000" w:themeColor="text1"/>
        </w:rPr>
        <w:t>0. Independent. The person's decisions and organizing daily routines and making decisions were consistent, reasonable, and safe (reflecting lifestyle, culture, and values)</w:t>
      </w:r>
      <w:r w:rsidR="00422BF1" w:rsidRPr="00D734B7">
        <w:rPr>
          <w:color w:val="000000" w:themeColor="text1"/>
        </w:rPr>
        <w:t>.</w:t>
      </w:r>
    </w:p>
    <w:p w14:paraId="07ED0F77" w14:textId="77777777" w:rsidR="00E1768B" w:rsidRPr="00D734B7" w:rsidRDefault="00E1768B" w:rsidP="00945CAA">
      <w:pPr>
        <w:rPr>
          <w:color w:val="000000" w:themeColor="text1"/>
        </w:rPr>
      </w:pPr>
      <w:r w:rsidRPr="00D734B7">
        <w:rPr>
          <w:color w:val="000000" w:themeColor="text1"/>
        </w:rPr>
        <w:t xml:space="preserve">1. Modified independence. The person organized daily routines and made safe decisions in familiar </w:t>
      </w:r>
      <w:proofErr w:type="gramStart"/>
      <w:r w:rsidRPr="00D734B7">
        <w:rPr>
          <w:color w:val="000000" w:themeColor="text1"/>
        </w:rPr>
        <w:t>situations, but</w:t>
      </w:r>
      <w:proofErr w:type="gramEnd"/>
      <w:r w:rsidRPr="00D734B7">
        <w:rPr>
          <w:color w:val="000000" w:themeColor="text1"/>
        </w:rPr>
        <w:t xml:space="preserve"> experienced some difficulty in decision-making when faced with new tasks or new situations. The focus here is on the challenges and difficulties in facing new things.</w:t>
      </w:r>
    </w:p>
    <w:p w14:paraId="2C77048D" w14:textId="77777777" w:rsidR="00E1768B" w:rsidRPr="00D734B7" w:rsidRDefault="00E1768B" w:rsidP="00945CAA">
      <w:pPr>
        <w:rPr>
          <w:color w:val="000000" w:themeColor="text1"/>
        </w:rPr>
      </w:pPr>
      <w:r w:rsidRPr="00D734B7">
        <w:rPr>
          <w:color w:val="000000" w:themeColor="text1"/>
        </w:rPr>
        <w:t>2. Minimally impaired. An individual is determined to be minimally impaired if in specific recurring situations decisions were poor or unsafe. Minimally impaired also includes a situation in which the person requires cues or supervision at times. The keywords to think about here are recurring situations where decisions were poor and required supervision.</w:t>
      </w:r>
    </w:p>
    <w:p w14:paraId="6CF6512A" w14:textId="77777777" w:rsidR="00E1768B" w:rsidRPr="00D734B7" w:rsidRDefault="00E1768B" w:rsidP="00945CAA">
      <w:pPr>
        <w:rPr>
          <w:color w:val="000000" w:themeColor="text1"/>
        </w:rPr>
      </w:pPr>
      <w:r w:rsidRPr="00D734B7">
        <w:rPr>
          <w:color w:val="000000" w:themeColor="text1"/>
        </w:rPr>
        <w:t xml:space="preserve">3. Moderately impaired. A person is determined to be moderately impaired if the person's decisions were consistently poor or unsafe. A moderately impaired person requires reminders, cues, or supervision </w:t>
      </w:r>
      <w:proofErr w:type="gramStart"/>
      <w:r w:rsidRPr="00D734B7">
        <w:rPr>
          <w:color w:val="000000" w:themeColor="text1"/>
        </w:rPr>
        <w:t>at all times</w:t>
      </w:r>
      <w:proofErr w:type="gramEnd"/>
      <w:r w:rsidRPr="00D734B7">
        <w:rPr>
          <w:color w:val="000000" w:themeColor="text1"/>
        </w:rPr>
        <w:t xml:space="preserve"> to plan, organize, and conduct daily </w:t>
      </w:r>
      <w:r w:rsidRPr="00D734B7">
        <w:rPr>
          <w:color w:val="000000" w:themeColor="text1"/>
        </w:rPr>
        <w:lastRenderedPageBreak/>
        <w:t xml:space="preserve">routines. Key things to consider here </w:t>
      </w:r>
      <w:proofErr w:type="gramStart"/>
      <w:r w:rsidRPr="00D734B7">
        <w:rPr>
          <w:color w:val="000000" w:themeColor="text1"/>
        </w:rPr>
        <w:t>are consistently poor or unsafe decisions and the requirement for reminders and queues at all times</w:t>
      </w:r>
      <w:proofErr w:type="gramEnd"/>
      <w:r w:rsidRPr="00D734B7">
        <w:rPr>
          <w:color w:val="000000" w:themeColor="text1"/>
        </w:rPr>
        <w:t>.</w:t>
      </w:r>
    </w:p>
    <w:p w14:paraId="40949E16" w14:textId="77777777" w:rsidR="00E1768B" w:rsidRPr="00D734B7" w:rsidRDefault="00E1768B" w:rsidP="00945CAA">
      <w:pPr>
        <w:rPr>
          <w:color w:val="000000" w:themeColor="text1"/>
        </w:rPr>
      </w:pPr>
      <w:r w:rsidRPr="00D734B7">
        <w:rPr>
          <w:color w:val="000000" w:themeColor="text1"/>
        </w:rPr>
        <w:t>4. Severely impaired. The person never or rarely makes decisions.</w:t>
      </w:r>
    </w:p>
    <w:p w14:paraId="20818624" w14:textId="77777777" w:rsidR="00E1768B" w:rsidRPr="00D734B7" w:rsidRDefault="00E1768B" w:rsidP="00945CAA">
      <w:pPr>
        <w:rPr>
          <w:color w:val="000000" w:themeColor="text1"/>
        </w:rPr>
      </w:pPr>
      <w:r w:rsidRPr="00D734B7">
        <w:rPr>
          <w:color w:val="000000" w:themeColor="text1"/>
        </w:rPr>
        <w:t>5. No discernible consciousness. The person is nonresponsive. In this case, the assessor would move on, because they cannot interact on any level with the individual.</w:t>
      </w:r>
    </w:p>
    <w:p w14:paraId="6FDA8F59" w14:textId="546DC4C2" w:rsidR="00A615A0" w:rsidRPr="00D734B7" w:rsidRDefault="00E1768B" w:rsidP="00C85A9C">
      <w:pPr>
        <w:pStyle w:val="Heading3"/>
        <w:rPr>
          <w:color w:val="000000" w:themeColor="text1"/>
        </w:rPr>
      </w:pPr>
      <w:bookmarkStart w:id="27" w:name="_Toc215931867"/>
      <w:r w:rsidRPr="00D734B7">
        <w:rPr>
          <w:color w:val="000000" w:themeColor="text1"/>
        </w:rPr>
        <w:t>FED – Section B.2 – Memory and Recall</w:t>
      </w:r>
      <w:bookmarkEnd w:id="27"/>
    </w:p>
    <w:p w14:paraId="28B016CA" w14:textId="33D0AB48" w:rsidR="00E1768B" w:rsidRPr="00D734B7" w:rsidRDefault="00E1768B" w:rsidP="00945CAA">
      <w:pPr>
        <w:rPr>
          <w:color w:val="000000" w:themeColor="text1"/>
        </w:rPr>
      </w:pPr>
      <w:r w:rsidRPr="00D734B7">
        <w:rPr>
          <w:color w:val="000000" w:themeColor="text1"/>
        </w:rPr>
        <w:t>Let’s move to a review of memory and recall.</w:t>
      </w:r>
    </w:p>
    <w:p w14:paraId="3B8B7462" w14:textId="77777777" w:rsidR="00E1768B" w:rsidRPr="00D734B7" w:rsidRDefault="00E1768B" w:rsidP="00945CAA">
      <w:pPr>
        <w:rPr>
          <w:color w:val="000000" w:themeColor="text1"/>
        </w:rPr>
      </w:pPr>
      <w:r w:rsidRPr="00D734B7">
        <w:rPr>
          <w:color w:val="000000" w:themeColor="text1"/>
        </w:rPr>
        <w:t xml:space="preserve">Memory and recall coding </w:t>
      </w:r>
      <w:proofErr w:type="gramStart"/>
      <w:r w:rsidRPr="00D734B7">
        <w:rPr>
          <w:color w:val="000000" w:themeColor="text1"/>
        </w:rPr>
        <w:t>is</w:t>
      </w:r>
      <w:proofErr w:type="gramEnd"/>
      <w:r w:rsidRPr="00D734B7">
        <w:rPr>
          <w:color w:val="000000" w:themeColor="text1"/>
        </w:rPr>
        <w:t xml:space="preserve"> to determine a person's ability to remember recent and past events and to perform sequential activities. These are referred to as short-term memory, procedural memory, and situational memory. There are three aspects of memory and recall that assessors code.</w:t>
      </w:r>
    </w:p>
    <w:p w14:paraId="486BFE31" w14:textId="5D1510FC" w:rsidR="00E1768B" w:rsidRPr="00D734B7" w:rsidRDefault="00E1768B" w:rsidP="00945CAA">
      <w:pPr>
        <w:rPr>
          <w:color w:val="000000" w:themeColor="text1"/>
        </w:rPr>
      </w:pPr>
      <w:r w:rsidRPr="00D734B7">
        <w:rPr>
          <w:color w:val="000000" w:themeColor="text1"/>
        </w:rPr>
        <w:t xml:space="preserve">B2A is short-term memory. In this category, the person seems or appears to recall information after five minutes elapses. Short-term memory is the ability to remember things after five minutes. For example, short-term memory is tested by asking the person to describe a recent event that they would likely have knowledge of. This could be what they had for breakfast and what they did yesterday. Another way to assess short-term memory is to ask the person to remember three unrelated items.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xml:space="preserve"> provides examples such as book, watch, and table. Ask the person to remember those for a few minutes and then talk about something else. Do not maintain silence. Continue the </w:t>
      </w:r>
      <w:proofErr w:type="gramStart"/>
      <w:r w:rsidRPr="00D734B7">
        <w:rPr>
          <w:color w:val="000000" w:themeColor="text1"/>
        </w:rPr>
        <w:t>conversation, but</w:t>
      </w:r>
      <w:proofErr w:type="gramEnd"/>
      <w:r w:rsidRPr="00D734B7">
        <w:rPr>
          <w:color w:val="000000" w:themeColor="text1"/>
        </w:rPr>
        <w:t xml:space="preserve"> remember that in five minutes the assessor asks the person to repeat the name of each item. If the person is unable to recall all three items, item B2A should be scored as a “1” for memory problem.</w:t>
      </w:r>
    </w:p>
    <w:p w14:paraId="0BAF8DA1" w14:textId="758E501F" w:rsidR="00E1768B" w:rsidRPr="00D734B7" w:rsidRDefault="00E1768B" w:rsidP="00945CAA">
      <w:pPr>
        <w:rPr>
          <w:color w:val="000000" w:themeColor="text1"/>
        </w:rPr>
      </w:pPr>
      <w:r w:rsidRPr="00D734B7">
        <w:rPr>
          <w:color w:val="000000" w:themeColor="text1"/>
        </w:rPr>
        <w:t xml:space="preserve">B2B assesses procedural memory. Procedural memory means that the individual can perform all or almost all steps in a multitask sequence without cues. Dressing is an example of such an activity. Multiple steps are required to complete the entire task. The person must be able to perform or remember to perform all or most of the steps </w:t>
      </w:r>
      <w:proofErr w:type="gramStart"/>
      <w:r w:rsidRPr="00D734B7">
        <w:rPr>
          <w:color w:val="000000" w:themeColor="text1"/>
        </w:rPr>
        <w:t>in order to</w:t>
      </w:r>
      <w:proofErr w:type="gramEnd"/>
      <w:r w:rsidRPr="00D734B7">
        <w:rPr>
          <w:color w:val="000000" w:themeColor="text1"/>
        </w:rPr>
        <w:t xml:space="preserve"> be scored as memory OK. Remember that this is assessing their ability to know the steps involved in the procedure. This does not refer to physical limitations that impede their independence in performing an activity.</w:t>
      </w:r>
    </w:p>
    <w:p w14:paraId="6CD58EBE" w14:textId="21CB4EDA" w:rsidR="00E1768B" w:rsidRPr="00D734B7" w:rsidRDefault="00E1768B" w:rsidP="00945CAA">
      <w:pPr>
        <w:rPr>
          <w:color w:val="000000" w:themeColor="text1"/>
        </w:rPr>
      </w:pPr>
      <w:r w:rsidRPr="00D734B7">
        <w:rPr>
          <w:color w:val="000000" w:themeColor="text1"/>
        </w:rPr>
        <w:t xml:space="preserve">B2C assesses situational memory. Situational memory means that they can recognize the names and faces of caregivers frequently encountered and that the person knows the location of places that they regularly visit such as the bedroom, the kitchen, the TV room, etc. For situational memory to be acceptable, the individual must recognize both the names and faces of frequently encountered family members or caregivers and know the location of places regularly visited such as the bedroom, the dining room, the senior </w:t>
      </w:r>
      <w:r w:rsidR="004B3BAB" w:rsidRPr="00D734B7">
        <w:rPr>
          <w:color w:val="000000" w:themeColor="text1"/>
        </w:rPr>
        <w:t>c</w:t>
      </w:r>
      <w:r w:rsidRPr="00D734B7">
        <w:rPr>
          <w:color w:val="000000" w:themeColor="text1"/>
        </w:rPr>
        <w:t xml:space="preserve">ommunity </w:t>
      </w:r>
      <w:r w:rsidR="004B3BAB" w:rsidRPr="00D734B7">
        <w:rPr>
          <w:color w:val="000000" w:themeColor="text1"/>
        </w:rPr>
        <w:t>c</w:t>
      </w:r>
      <w:r w:rsidRPr="00D734B7">
        <w:rPr>
          <w:color w:val="000000" w:themeColor="text1"/>
        </w:rPr>
        <w:t>enter, the bus stop, etc. The person does not have to know the street number, but they should be able to describe how they get there and the use of, or importance of, the place. This ability can be assessed in conversation.</w:t>
      </w:r>
    </w:p>
    <w:p w14:paraId="2C046AD8" w14:textId="122360C5"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lastRenderedPageBreak/>
        <w:t xml:space="preserve">Follow the best practices for the individual processes for each of these factors. There are examples in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Please do use the guidance provided in terms of how to assess each of these items.</w:t>
      </w:r>
    </w:p>
    <w:p w14:paraId="1408CE7E" w14:textId="6A4427F0" w:rsidR="00A615A0" w:rsidRPr="00D734B7" w:rsidRDefault="00E1768B" w:rsidP="00C85A9C">
      <w:pPr>
        <w:pStyle w:val="Heading3"/>
        <w:rPr>
          <w:color w:val="000000" w:themeColor="text1"/>
        </w:rPr>
      </w:pPr>
      <w:bookmarkStart w:id="28" w:name="_Toc215931868"/>
      <w:r w:rsidRPr="00D734B7">
        <w:rPr>
          <w:color w:val="000000" w:themeColor="text1"/>
        </w:rPr>
        <w:t>FED – Section B – Cognition</w:t>
      </w:r>
      <w:bookmarkEnd w:id="28"/>
    </w:p>
    <w:p w14:paraId="700F9EE0"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coding for memory and recall is straightforward. For each item, “0” codes as yes, memory OK. “1” codes as memory problem present in the last three days.</w:t>
      </w:r>
    </w:p>
    <w:p w14:paraId="45B4319B" w14:textId="66175E0C" w:rsidR="00A615A0" w:rsidRPr="00D734B7" w:rsidRDefault="00E1768B" w:rsidP="00C85A9C">
      <w:pPr>
        <w:pStyle w:val="Heading3"/>
        <w:rPr>
          <w:color w:val="000000" w:themeColor="text1"/>
        </w:rPr>
      </w:pPr>
      <w:bookmarkStart w:id="29" w:name="_Toc215931869"/>
      <w:r w:rsidRPr="00D734B7">
        <w:rPr>
          <w:color w:val="000000" w:themeColor="text1"/>
        </w:rPr>
        <w:t>FED – Section B.3 – Periodic Disordered Thinking</w:t>
      </w:r>
      <w:bookmarkEnd w:id="29"/>
    </w:p>
    <w:p w14:paraId="19D032F5" w14:textId="273BFF15" w:rsidR="00E1768B" w:rsidRPr="00D734B7" w:rsidRDefault="00E1768B" w:rsidP="00945CAA">
      <w:pPr>
        <w:rPr>
          <w:color w:val="000000" w:themeColor="text1"/>
        </w:rPr>
      </w:pPr>
      <w:r w:rsidRPr="00D734B7">
        <w:rPr>
          <w:color w:val="000000" w:themeColor="text1"/>
        </w:rPr>
        <w:t>Another aspect of cognition that is assessed is periodic disordered thinking or awareness. This documents behavioral signs that may indicate that delirium is present. Confusion or disordered thinking can be caused by medications or infections. These are treatable. A recent and rapid deterioration could be reversible if detected and treated in a timely fashion. Ensure that you're tuned to recent changes in the person's usual functioning. For example, if a person is usually outgoing and communicative and they become suddenly silent, this could point to an issue.</w:t>
      </w:r>
    </w:p>
    <w:p w14:paraId="1CF8B8C6" w14:textId="77777777" w:rsidR="00E1768B" w:rsidRPr="00D734B7" w:rsidRDefault="00E1768B" w:rsidP="00945CAA">
      <w:pPr>
        <w:rPr>
          <w:color w:val="000000" w:themeColor="text1"/>
        </w:rPr>
      </w:pPr>
      <w:r w:rsidRPr="00D734B7">
        <w:rPr>
          <w:color w:val="000000" w:themeColor="text1"/>
        </w:rPr>
        <w:t>The subcategories are as follows:</w:t>
      </w:r>
    </w:p>
    <w:p w14:paraId="0CD5559B" w14:textId="1C43349F" w:rsidR="00E1768B" w:rsidRPr="00D734B7" w:rsidRDefault="00E1768B" w:rsidP="00514263">
      <w:pPr>
        <w:pStyle w:val="ListParagraph"/>
        <w:numPr>
          <w:ilvl w:val="0"/>
          <w:numId w:val="5"/>
        </w:numPr>
        <w:rPr>
          <w:color w:val="000000" w:themeColor="text1"/>
        </w:rPr>
      </w:pPr>
      <w:r w:rsidRPr="00D734B7">
        <w:rPr>
          <w:color w:val="000000" w:themeColor="text1"/>
        </w:rPr>
        <w:t>Easily distracted. Episodes of difficulty paying attention or the person getting sidetracked</w:t>
      </w:r>
      <w:r w:rsidR="00D115EE" w:rsidRPr="00D734B7">
        <w:rPr>
          <w:color w:val="000000" w:themeColor="text1"/>
        </w:rPr>
        <w:t>.</w:t>
      </w:r>
    </w:p>
    <w:p w14:paraId="6F41CE55" w14:textId="77777777" w:rsidR="00E1768B" w:rsidRPr="00D734B7" w:rsidRDefault="00E1768B" w:rsidP="00514263">
      <w:pPr>
        <w:pStyle w:val="ListParagraph"/>
        <w:numPr>
          <w:ilvl w:val="0"/>
          <w:numId w:val="5"/>
        </w:numPr>
        <w:rPr>
          <w:color w:val="000000" w:themeColor="text1"/>
        </w:rPr>
      </w:pPr>
      <w:r w:rsidRPr="00D734B7">
        <w:rPr>
          <w:color w:val="000000" w:themeColor="text1"/>
        </w:rPr>
        <w:t>Episodes of disorganized speech. This means that their speech is nonsensical, irrelevant rambling, and not specific to the topic being discussed. The person loses their train of thought.</w:t>
      </w:r>
    </w:p>
    <w:p w14:paraId="4A958778" w14:textId="77777777" w:rsidR="00E1768B" w:rsidRPr="00D734B7" w:rsidRDefault="00E1768B" w:rsidP="00514263">
      <w:pPr>
        <w:pStyle w:val="ListParagraph"/>
        <w:numPr>
          <w:ilvl w:val="0"/>
          <w:numId w:val="5"/>
        </w:numPr>
        <w:rPr>
          <w:color w:val="000000" w:themeColor="text1"/>
        </w:rPr>
      </w:pPr>
      <w:r w:rsidRPr="00D734B7">
        <w:rPr>
          <w:color w:val="000000" w:themeColor="text1"/>
        </w:rPr>
        <w:t>Mental function varies over the course of the day. This indicates that they are sometimes better with disordered or distracted behaviors, sometimes being present, but not always.</w:t>
      </w:r>
    </w:p>
    <w:p w14:paraId="33E46C4F" w14:textId="77777777" w:rsidR="00E1768B" w:rsidRPr="00D734B7" w:rsidRDefault="00E1768B" w:rsidP="00945CAA">
      <w:pPr>
        <w:rPr>
          <w:color w:val="000000" w:themeColor="text1"/>
        </w:rPr>
      </w:pPr>
      <w:r w:rsidRPr="00D734B7">
        <w:rPr>
          <w:color w:val="000000" w:themeColor="text1"/>
        </w:rPr>
        <w:t>The coding for the person's behavior in the last three days, regardless of what you believe the cause to be, is focused on when the behavior first occurred and whether it is different from the person's usual pattern. Remember, the look back is three days.</w:t>
      </w:r>
    </w:p>
    <w:p w14:paraId="145C6FA7" w14:textId="77777777" w:rsidR="00E1768B" w:rsidRPr="00D734B7" w:rsidRDefault="00E1768B" w:rsidP="00945CAA">
      <w:pPr>
        <w:rPr>
          <w:color w:val="000000" w:themeColor="text1"/>
        </w:rPr>
      </w:pPr>
      <w:r w:rsidRPr="00D734B7">
        <w:rPr>
          <w:color w:val="000000" w:themeColor="text1"/>
        </w:rPr>
        <w:t>The coding is as follows:</w:t>
      </w:r>
    </w:p>
    <w:p w14:paraId="393408F3" w14:textId="45BC96FE"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Means that the behavior is not present.</w:t>
      </w:r>
    </w:p>
    <w:p w14:paraId="1C481D5C" w14:textId="6F6705DD"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Means that the behavior is present, consistent with usual functioning. The behavior you observed is normal for the individual.</w:t>
      </w:r>
    </w:p>
    <w:p w14:paraId="159B060D" w14:textId="33C13C4A"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 xml:space="preserve">Means that the behavior is present, but </w:t>
      </w:r>
      <w:r w:rsidR="00D115EE" w:rsidRPr="00D734B7">
        <w:rPr>
          <w:color w:val="000000" w:themeColor="text1"/>
        </w:rPr>
        <w:t xml:space="preserve">it </w:t>
      </w:r>
      <w:r w:rsidRPr="00D734B7">
        <w:rPr>
          <w:color w:val="000000" w:themeColor="text1"/>
        </w:rPr>
        <w:t>appears to be different from normal. For example, disoriented thinking is a new behavior.</w:t>
      </w:r>
    </w:p>
    <w:p w14:paraId="010DD03F" w14:textId="3A0E6655"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Please refer to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xml:space="preserve"> for examples and case studies of how to assess and score cognition.</w:t>
      </w:r>
    </w:p>
    <w:p w14:paraId="70483814" w14:textId="6963C59A" w:rsidR="00A615A0" w:rsidRPr="00D734B7" w:rsidRDefault="00E1768B" w:rsidP="00C85A9C">
      <w:pPr>
        <w:pStyle w:val="Heading3"/>
        <w:rPr>
          <w:color w:val="000000" w:themeColor="text1"/>
        </w:rPr>
      </w:pPr>
      <w:bookmarkStart w:id="30" w:name="_Toc215931870"/>
      <w:r w:rsidRPr="00D734B7">
        <w:rPr>
          <w:color w:val="000000" w:themeColor="text1"/>
        </w:rPr>
        <w:lastRenderedPageBreak/>
        <w:t>FED – Section B.4 – Acute Changes</w:t>
      </w:r>
      <w:bookmarkEnd w:id="30"/>
    </w:p>
    <w:p w14:paraId="571DA82B" w14:textId="6E7BE557" w:rsidR="00E1768B" w:rsidRPr="00D734B7" w:rsidRDefault="00E1768B" w:rsidP="00945CAA">
      <w:pPr>
        <w:rPr>
          <w:color w:val="000000" w:themeColor="text1"/>
        </w:rPr>
      </w:pPr>
      <w:r w:rsidRPr="00D734B7">
        <w:rPr>
          <w:color w:val="000000" w:themeColor="text1"/>
        </w:rPr>
        <w:t>The last section related to cognition on the FED assesses if there were any sudden or recent changes in the person's usual level of functioning. This could include changes related to restlessness, lethargy, being difficult to arouse, or altered environmental perceptions. This is important in determining whether elements of cognition are normal or recently changed. The coding is straightforward. “0” is no, there were no acute changes in status. Coding of “1” means that</w:t>
      </w:r>
      <w:r w:rsidR="00D115EE" w:rsidRPr="00D734B7">
        <w:rPr>
          <w:color w:val="000000" w:themeColor="text1"/>
        </w:rPr>
        <w:t>,</w:t>
      </w:r>
      <w:r w:rsidRPr="00D734B7">
        <w:rPr>
          <w:color w:val="000000" w:themeColor="text1"/>
        </w:rPr>
        <w:t xml:space="preserve"> yes, there were acute changes in the individual's mental status.</w:t>
      </w:r>
    </w:p>
    <w:p w14:paraId="758D39C1" w14:textId="5ABBD33D" w:rsidR="00A615A0" w:rsidRPr="00D734B7" w:rsidRDefault="00E1768B">
      <w:pPr>
        <w:pStyle w:val="Heading2"/>
        <w:rPr>
          <w:color w:val="000000" w:themeColor="text1"/>
        </w:rPr>
      </w:pPr>
      <w:bookmarkStart w:id="31" w:name="_Toc215931871"/>
      <w:r w:rsidRPr="00D734B7">
        <w:rPr>
          <w:color w:val="000000" w:themeColor="text1"/>
        </w:rPr>
        <w:t>FED – Section C</w:t>
      </w:r>
      <w:bookmarkEnd w:id="31"/>
    </w:p>
    <w:p w14:paraId="318371B3" w14:textId="379C7F03"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mood and behavior category on the FED is limited to behavior symptoms.</w:t>
      </w:r>
    </w:p>
    <w:p w14:paraId="12A6EF04" w14:textId="56B85986" w:rsidR="00A615A0" w:rsidRPr="00D734B7" w:rsidRDefault="00E1768B" w:rsidP="00C85A9C">
      <w:pPr>
        <w:pStyle w:val="Heading3"/>
        <w:rPr>
          <w:color w:val="000000" w:themeColor="text1"/>
        </w:rPr>
      </w:pPr>
      <w:bookmarkStart w:id="32" w:name="_Toc215931872"/>
      <w:r w:rsidRPr="00D734B7">
        <w:rPr>
          <w:color w:val="000000" w:themeColor="text1"/>
        </w:rPr>
        <w:t>FED – Section C.1 – Mood and Behavior</w:t>
      </w:r>
      <w:bookmarkEnd w:id="32"/>
    </w:p>
    <w:p w14:paraId="36A57FD7" w14:textId="61DD4707" w:rsidR="00E1768B" w:rsidRPr="00D734B7" w:rsidRDefault="00E1768B" w:rsidP="00945CAA">
      <w:pPr>
        <w:rPr>
          <w:color w:val="000000" w:themeColor="text1"/>
        </w:rPr>
      </w:pPr>
      <w:r w:rsidRPr="00D734B7">
        <w:rPr>
          <w:color w:val="000000" w:themeColor="text1"/>
        </w:rPr>
        <w:t xml:space="preserve">The behaviors noted in this section can be potentially harmful to the person or disruptive to others. These items can </w:t>
      </w:r>
      <w:proofErr w:type="gramStart"/>
      <w:r w:rsidRPr="00D734B7">
        <w:rPr>
          <w:color w:val="000000" w:themeColor="text1"/>
        </w:rPr>
        <w:t>be considered to be</w:t>
      </w:r>
      <w:proofErr w:type="gramEnd"/>
      <w:r w:rsidRPr="00D734B7">
        <w:rPr>
          <w:color w:val="000000" w:themeColor="text1"/>
        </w:rPr>
        <w:t xml:space="preserve"> “combative” or “agitated” by some professionals. It is important to document behavioral symptoms as a basis for further evaluation, care planning, and delivering appropriate care.</w:t>
      </w:r>
    </w:p>
    <w:p w14:paraId="035F72DD" w14:textId="77777777" w:rsidR="00E1768B" w:rsidRPr="00D734B7" w:rsidRDefault="00E1768B" w:rsidP="00945CAA">
      <w:pPr>
        <w:rPr>
          <w:color w:val="000000" w:themeColor="text1"/>
        </w:rPr>
      </w:pPr>
      <w:r w:rsidRPr="00D734B7">
        <w:rPr>
          <w:color w:val="000000" w:themeColor="text1"/>
        </w:rPr>
        <w:t>These specific behavior symptoms include:</w:t>
      </w:r>
    </w:p>
    <w:p w14:paraId="7FC64B31" w14:textId="77777777" w:rsidR="00E1768B" w:rsidRPr="00D734B7" w:rsidRDefault="00E1768B" w:rsidP="0075311D">
      <w:pPr>
        <w:pStyle w:val="ListParagraph"/>
        <w:numPr>
          <w:ilvl w:val="0"/>
          <w:numId w:val="16"/>
        </w:numPr>
        <w:rPr>
          <w:color w:val="000000" w:themeColor="text1"/>
        </w:rPr>
      </w:pPr>
      <w:r w:rsidRPr="00D734B7">
        <w:rPr>
          <w:color w:val="000000" w:themeColor="text1"/>
        </w:rPr>
        <w:t>Wandering. The person moved about with no discernible rationale or purpose. The person may be oblivious to their own safety needs. It could be walking or using a wheelchair. This does not include pacing back and forth.</w:t>
      </w:r>
    </w:p>
    <w:p w14:paraId="753F9EDE" w14:textId="77777777" w:rsidR="00E1768B" w:rsidRPr="00D734B7" w:rsidRDefault="00E1768B" w:rsidP="0075311D">
      <w:pPr>
        <w:pStyle w:val="ListParagraph"/>
        <w:numPr>
          <w:ilvl w:val="0"/>
          <w:numId w:val="16"/>
        </w:numPr>
        <w:rPr>
          <w:color w:val="000000" w:themeColor="text1"/>
        </w:rPr>
      </w:pPr>
      <w:r w:rsidRPr="00D734B7">
        <w:rPr>
          <w:color w:val="000000" w:themeColor="text1"/>
        </w:rPr>
        <w:t>Verbal abuse. If the individual threatened, screamed at, or cursed others.</w:t>
      </w:r>
    </w:p>
    <w:p w14:paraId="24BEA575" w14:textId="77777777" w:rsidR="00E1768B" w:rsidRPr="00D734B7" w:rsidRDefault="00E1768B" w:rsidP="0075311D">
      <w:pPr>
        <w:pStyle w:val="ListParagraph"/>
        <w:numPr>
          <w:ilvl w:val="0"/>
          <w:numId w:val="16"/>
        </w:numPr>
        <w:rPr>
          <w:color w:val="000000" w:themeColor="text1"/>
        </w:rPr>
      </w:pPr>
      <w:r w:rsidRPr="00D734B7">
        <w:rPr>
          <w:color w:val="000000" w:themeColor="text1"/>
        </w:rPr>
        <w:t>Physical abuse. For example, others were hit, shoved, scratched, or sexually abused.</w:t>
      </w:r>
    </w:p>
    <w:p w14:paraId="40DE4841" w14:textId="77777777" w:rsidR="00E1768B" w:rsidRPr="00D734B7" w:rsidRDefault="00E1768B" w:rsidP="0075311D">
      <w:pPr>
        <w:pStyle w:val="ListParagraph"/>
        <w:numPr>
          <w:ilvl w:val="0"/>
          <w:numId w:val="16"/>
        </w:numPr>
        <w:rPr>
          <w:color w:val="000000" w:themeColor="text1"/>
        </w:rPr>
      </w:pPr>
      <w:r w:rsidRPr="00D734B7">
        <w:rPr>
          <w:color w:val="000000" w:themeColor="text1"/>
        </w:rPr>
        <w:t>Socially inappropriate or disruptive behavior. If the person made disruptive sounds or noises, smeared or threw food or feces, hoarded, or rummaged through others’ belongings. This would be considered socially inappropriate or disruptive behavior.</w:t>
      </w:r>
    </w:p>
    <w:p w14:paraId="2A86BBC8" w14:textId="77777777" w:rsidR="00E1768B" w:rsidRPr="00D734B7" w:rsidRDefault="00E1768B" w:rsidP="0075311D">
      <w:pPr>
        <w:pStyle w:val="ListParagraph"/>
        <w:numPr>
          <w:ilvl w:val="0"/>
          <w:numId w:val="16"/>
        </w:numPr>
        <w:rPr>
          <w:color w:val="000000" w:themeColor="text1"/>
        </w:rPr>
      </w:pPr>
      <w:r w:rsidRPr="00D734B7">
        <w:rPr>
          <w:color w:val="000000" w:themeColor="text1"/>
        </w:rPr>
        <w:t>Inappropriate public sexual behavior or public disrobing.</w:t>
      </w:r>
    </w:p>
    <w:p w14:paraId="0DDEBD27" w14:textId="1B539A36" w:rsidR="00E1768B" w:rsidRPr="00D734B7" w:rsidRDefault="00E1768B" w:rsidP="0075311D">
      <w:pPr>
        <w:pStyle w:val="ListParagraph"/>
        <w:numPr>
          <w:ilvl w:val="0"/>
          <w:numId w:val="16"/>
        </w:numPr>
        <w:rPr>
          <w:color w:val="000000" w:themeColor="text1"/>
        </w:rPr>
      </w:pPr>
      <w:r w:rsidRPr="00D734B7">
        <w:rPr>
          <w:color w:val="000000" w:themeColor="text1"/>
        </w:rPr>
        <w:t xml:space="preserve">Resists care. Examples of resisting care include not taking medications, pushing a caregiver away while receiving assistance with activities of daily living, pushing caregivers away when they're trying to assist a person with walking or changing positions. This does not include cases in which the person made an informed choice not to follow a course of care. Individuals can decide that they prefer one course of care over another. Resistance refers to not participating in and actively foiling attempts at the care that was decided upon and agreed to. There could be many reasons for resistance to care. The reasons behind this could point to further investigation. Use comments to provide any details or context that could be important to </w:t>
      </w:r>
      <w:proofErr w:type="gramStart"/>
      <w:r w:rsidRPr="00D734B7">
        <w:rPr>
          <w:color w:val="000000" w:themeColor="text1"/>
        </w:rPr>
        <w:t>designing</w:t>
      </w:r>
      <w:proofErr w:type="gramEnd"/>
      <w:r w:rsidRPr="00D734B7">
        <w:rPr>
          <w:color w:val="000000" w:themeColor="text1"/>
        </w:rPr>
        <w:t xml:space="preserve"> a person-centered service plan.</w:t>
      </w:r>
    </w:p>
    <w:p w14:paraId="0B623EEF" w14:textId="3909B3DC" w:rsidR="00A615A0" w:rsidRPr="00D734B7" w:rsidRDefault="00E1768B" w:rsidP="00C85A9C">
      <w:pPr>
        <w:pStyle w:val="Heading3"/>
        <w:rPr>
          <w:color w:val="000000" w:themeColor="text1"/>
        </w:rPr>
      </w:pPr>
      <w:bookmarkStart w:id="33" w:name="_Toc215931873"/>
      <w:r w:rsidRPr="00D734B7">
        <w:rPr>
          <w:color w:val="000000" w:themeColor="text1"/>
        </w:rPr>
        <w:lastRenderedPageBreak/>
        <w:t>FED – Section C.1 – Mood and Behavior Coding</w:t>
      </w:r>
      <w:bookmarkEnd w:id="33"/>
    </w:p>
    <w:p w14:paraId="3B808D06" w14:textId="77777777" w:rsidR="00E1768B" w:rsidRPr="00D734B7" w:rsidRDefault="00E1768B" w:rsidP="00945CAA">
      <w:pPr>
        <w:rPr>
          <w:color w:val="000000" w:themeColor="text1"/>
        </w:rPr>
      </w:pPr>
      <w:r w:rsidRPr="00D734B7">
        <w:rPr>
          <w:color w:val="000000" w:themeColor="text1"/>
        </w:rPr>
        <w:t>When making determinations and entering coding, ask the family member or caregiver if each of these specific behaviors occurred. Focus on action, not intent. Be mindful of the fact that some family members have become used to behaviors and consider them normal.</w:t>
      </w:r>
    </w:p>
    <w:p w14:paraId="49720A92" w14:textId="006570AE" w:rsidR="00E1768B" w:rsidRPr="00D734B7" w:rsidRDefault="00E1768B" w:rsidP="00945CAA">
      <w:pPr>
        <w:rPr>
          <w:color w:val="000000" w:themeColor="text1"/>
        </w:rPr>
      </w:pPr>
      <w:r w:rsidRPr="00D734B7">
        <w:rPr>
          <w:color w:val="000000" w:themeColor="text1"/>
        </w:rPr>
        <w:t>The assessor also observes the person and the way they respond to attempts by family members or other caregivers to deliver care. Ask caregivers what they know about what occurred throughout the day and night for the past three days. If possible, try to talk to caregivers separately.</w:t>
      </w:r>
    </w:p>
    <w:p w14:paraId="70179820" w14:textId="77777777" w:rsidR="00E1768B" w:rsidRPr="00D734B7" w:rsidRDefault="00E1768B" w:rsidP="00945CAA">
      <w:pPr>
        <w:rPr>
          <w:color w:val="000000" w:themeColor="text1"/>
        </w:rPr>
      </w:pPr>
      <w:r w:rsidRPr="00D734B7">
        <w:rPr>
          <w:color w:val="000000" w:themeColor="text1"/>
        </w:rPr>
        <w:t>The coding is as follows:</w:t>
      </w:r>
    </w:p>
    <w:p w14:paraId="5433E6D4" w14:textId="5B93F45E"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Not in the last three days.</w:t>
      </w:r>
    </w:p>
    <w:p w14:paraId="662B3FBC" w14:textId="2235FB68"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 xml:space="preserve">Not in the last three </w:t>
      </w:r>
      <w:proofErr w:type="gramStart"/>
      <w:r w:rsidRPr="00D734B7">
        <w:rPr>
          <w:color w:val="000000" w:themeColor="text1"/>
        </w:rPr>
        <w:t>days, but</w:t>
      </w:r>
      <w:proofErr w:type="gramEnd"/>
      <w:r w:rsidRPr="00D734B7">
        <w:rPr>
          <w:color w:val="000000" w:themeColor="text1"/>
        </w:rPr>
        <w:t xml:space="preserve"> often feels that way. Use this code only if the person indicates the feeling is frequently present and </w:t>
      </w:r>
      <w:proofErr w:type="gramStart"/>
      <w:r w:rsidRPr="00D734B7">
        <w:rPr>
          <w:color w:val="000000" w:themeColor="text1"/>
        </w:rPr>
        <w:t>active, but</w:t>
      </w:r>
      <w:proofErr w:type="gramEnd"/>
      <w:r w:rsidRPr="00D734B7">
        <w:rPr>
          <w:color w:val="000000" w:themeColor="text1"/>
        </w:rPr>
        <w:t xml:space="preserve"> was not experienced in the last three days.</w:t>
      </w:r>
    </w:p>
    <w:p w14:paraId="2438FEA4" w14:textId="3E691493"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In one to two of the last three days.</w:t>
      </w:r>
    </w:p>
    <w:p w14:paraId="398DB045" w14:textId="246F6D11" w:rsidR="00E1768B" w:rsidRPr="00D734B7" w:rsidRDefault="00E1768B" w:rsidP="00945CAA">
      <w:pPr>
        <w:rPr>
          <w:color w:val="000000" w:themeColor="text1"/>
        </w:rPr>
      </w:pPr>
      <w:r w:rsidRPr="00D734B7">
        <w:rPr>
          <w:color w:val="000000" w:themeColor="text1"/>
        </w:rPr>
        <w:t>3.</w:t>
      </w:r>
      <w:r w:rsidR="00900C16" w:rsidRPr="00D734B7">
        <w:rPr>
          <w:color w:val="000000" w:themeColor="text1"/>
        </w:rPr>
        <w:t xml:space="preserve"> </w:t>
      </w:r>
      <w:r w:rsidRPr="00D734B7">
        <w:rPr>
          <w:color w:val="000000" w:themeColor="text1"/>
        </w:rPr>
        <w:t>Daily in the last three days.</w:t>
      </w:r>
    </w:p>
    <w:p w14:paraId="7FD40B79" w14:textId="2AC1037E"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Please use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xml:space="preserve"> for more specific examples, case studies, and more detail on the process to accurately assess the individual.</w:t>
      </w:r>
    </w:p>
    <w:p w14:paraId="34B080B5" w14:textId="2DB7ADF9" w:rsidR="00A615A0" w:rsidRPr="00D734B7" w:rsidRDefault="00E1768B" w:rsidP="00C85A9C">
      <w:pPr>
        <w:pStyle w:val="Heading4"/>
        <w:rPr>
          <w:color w:val="000000" w:themeColor="text1"/>
        </w:rPr>
      </w:pPr>
      <w:proofErr w:type="spellStart"/>
      <w:r w:rsidRPr="00D734B7">
        <w:rPr>
          <w:color w:val="000000" w:themeColor="text1"/>
        </w:rPr>
        <w:t>interRAI</w:t>
      </w:r>
      <w:proofErr w:type="spellEnd"/>
      <w:r w:rsidRPr="00D734B7">
        <w:rPr>
          <w:color w:val="000000" w:themeColor="text1"/>
        </w:rPr>
        <w:t xml:space="preserve"> – Mood and Behavior</w:t>
      </w:r>
    </w:p>
    <w:p w14:paraId="08A1A8FB" w14:textId="5211C35A" w:rsidR="00E1768B" w:rsidRPr="00D734B7" w:rsidRDefault="00E1768B" w:rsidP="00945CAA">
      <w:pPr>
        <w:rPr>
          <w:color w:val="000000" w:themeColor="text1"/>
        </w:rPr>
      </w:pPr>
      <w:r w:rsidRPr="00D734B7">
        <w:rPr>
          <w:color w:val="000000" w:themeColor="text1"/>
        </w:rPr>
        <w:t xml:space="preserve">Mood and behavior are assessed more broadly in the </w:t>
      </w:r>
      <w:proofErr w:type="spellStart"/>
      <w:r w:rsidRPr="00D734B7">
        <w:rPr>
          <w:color w:val="000000" w:themeColor="text1"/>
        </w:rPr>
        <w:t>interRAI</w:t>
      </w:r>
      <w:proofErr w:type="spellEnd"/>
      <w:r w:rsidRPr="00D734B7">
        <w:rPr>
          <w:color w:val="000000" w:themeColor="text1"/>
        </w:rPr>
        <w:t xml:space="preserve"> comprehensive needs assessment. Mood distress is a serious condition and is associated with morbidity. Mood and behavior can lead to functional impairment, resistance to daily care, inability to participate in activities, social isolation, increased risk of medical illness, cognitive impairment</w:t>
      </w:r>
      <w:r w:rsidR="00593011" w:rsidRPr="00D734B7">
        <w:rPr>
          <w:color w:val="000000" w:themeColor="text1"/>
        </w:rPr>
        <w:t>,</w:t>
      </w:r>
      <w:r w:rsidRPr="00D734B7">
        <w:rPr>
          <w:color w:val="000000" w:themeColor="text1"/>
        </w:rPr>
        <w:t xml:space="preserve"> and an increased sensitivity to physical pain.</w:t>
      </w:r>
      <w:r w:rsidR="00900C16" w:rsidRPr="00D734B7">
        <w:rPr>
          <w:color w:val="000000" w:themeColor="text1"/>
        </w:rPr>
        <w:t xml:space="preserve"> </w:t>
      </w:r>
      <w:r w:rsidRPr="00D734B7">
        <w:rPr>
          <w:color w:val="000000" w:themeColor="text1"/>
        </w:rPr>
        <w:t>As such</w:t>
      </w:r>
      <w:r w:rsidR="00593011" w:rsidRPr="00D734B7">
        <w:rPr>
          <w:color w:val="000000" w:themeColor="text1"/>
        </w:rPr>
        <w:t>,</w:t>
      </w:r>
      <w:r w:rsidRPr="00D734B7">
        <w:rPr>
          <w:color w:val="000000" w:themeColor="text1"/>
        </w:rPr>
        <w:t xml:space="preserve"> it is particularly important to identify signs and symptoms. They are treatable. Mood distress is often under-identified and underdiagnosed.</w:t>
      </w:r>
    </w:p>
    <w:p w14:paraId="6CDD5615" w14:textId="77777777" w:rsidR="00E1768B" w:rsidRPr="00D734B7" w:rsidRDefault="00E1768B" w:rsidP="00945CAA">
      <w:pPr>
        <w:rPr>
          <w:color w:val="000000" w:themeColor="text1"/>
        </w:rPr>
      </w:pPr>
      <w:r w:rsidRPr="00D734B7">
        <w:rPr>
          <w:color w:val="000000" w:themeColor="text1"/>
        </w:rPr>
        <w:t>This is an assessment of indicators in the last three days. Indicators can be expressed through direct statements or through nonverbal communication and behaviors. Look for both.</w:t>
      </w:r>
    </w:p>
    <w:p w14:paraId="5D22E9EC" w14:textId="52A6FAC9" w:rsidR="00E1768B" w:rsidRPr="00D734B7" w:rsidRDefault="00DB1B30" w:rsidP="00945CAA">
      <w:pPr>
        <w:rPr>
          <w:color w:val="000000" w:themeColor="text1"/>
        </w:rPr>
      </w:pPr>
      <w:r w:rsidRPr="00D734B7">
        <w:rPr>
          <w:color w:val="000000" w:themeColor="text1"/>
        </w:rPr>
        <w:t>S</w:t>
      </w:r>
      <w:r w:rsidR="00E1768B" w:rsidRPr="00D734B7">
        <w:rPr>
          <w:color w:val="000000" w:themeColor="text1"/>
        </w:rPr>
        <w:t xml:space="preserve">ome of the elements </w:t>
      </w:r>
      <w:r w:rsidRPr="00D734B7">
        <w:rPr>
          <w:color w:val="000000" w:themeColor="text1"/>
        </w:rPr>
        <w:t xml:space="preserve">in </w:t>
      </w:r>
      <w:r w:rsidR="00E1768B" w:rsidRPr="00D734B7">
        <w:rPr>
          <w:color w:val="000000" w:themeColor="text1"/>
        </w:rPr>
        <w:t>the assessment of mood and behavior</w:t>
      </w:r>
      <w:r w:rsidRPr="00D734B7">
        <w:rPr>
          <w:color w:val="000000" w:themeColor="text1"/>
        </w:rPr>
        <w:t xml:space="preserve"> include:</w:t>
      </w:r>
    </w:p>
    <w:p w14:paraId="14C9008E" w14:textId="77777777" w:rsidR="00DF3A31" w:rsidRPr="00D734B7" w:rsidRDefault="00DF3A31" w:rsidP="00DF3A31">
      <w:pPr>
        <w:pStyle w:val="ListParagraph"/>
        <w:numPr>
          <w:ilvl w:val="0"/>
          <w:numId w:val="17"/>
        </w:numPr>
        <w:rPr>
          <w:color w:val="000000" w:themeColor="text1"/>
        </w:rPr>
      </w:pPr>
      <w:r w:rsidRPr="00D734B7">
        <w:rPr>
          <w:color w:val="000000" w:themeColor="text1"/>
        </w:rPr>
        <w:t>Made negative statements. For example, “Nothing matters.” “I'd rather be dead.” “What's the use?” “Let me die” or something less obvious such as pervasive tiredness or disinterest.</w:t>
      </w:r>
    </w:p>
    <w:p w14:paraId="7E2700C1" w14:textId="77777777" w:rsidR="00DF3A31" w:rsidRPr="00D734B7" w:rsidRDefault="00DF3A31" w:rsidP="00DF3A31">
      <w:pPr>
        <w:pStyle w:val="ListParagraph"/>
        <w:numPr>
          <w:ilvl w:val="0"/>
          <w:numId w:val="17"/>
        </w:numPr>
        <w:rPr>
          <w:color w:val="000000" w:themeColor="text1"/>
        </w:rPr>
      </w:pPr>
      <w:r w:rsidRPr="00D734B7">
        <w:rPr>
          <w:color w:val="000000" w:themeColor="text1"/>
        </w:rPr>
        <w:t>Persistent anger with self or others. For example, the person is easily annoyed or flashes to anger quickly at the care received.</w:t>
      </w:r>
    </w:p>
    <w:p w14:paraId="3954DCA8" w14:textId="77777777" w:rsidR="00DF3A31" w:rsidRPr="00D734B7" w:rsidRDefault="00DF3A31" w:rsidP="00DF3A31">
      <w:pPr>
        <w:pStyle w:val="ListParagraph"/>
        <w:numPr>
          <w:ilvl w:val="0"/>
          <w:numId w:val="17"/>
        </w:numPr>
        <w:rPr>
          <w:color w:val="000000" w:themeColor="text1"/>
        </w:rPr>
      </w:pPr>
      <w:r w:rsidRPr="00D734B7">
        <w:rPr>
          <w:color w:val="000000" w:themeColor="text1"/>
        </w:rPr>
        <w:lastRenderedPageBreak/>
        <w:t>Expressions of unrealistic fears, either verbally or nonverbally. The fear of being abandoned, being left alone, and of other people.</w:t>
      </w:r>
    </w:p>
    <w:p w14:paraId="3E85A2F6" w14:textId="07A1EC48" w:rsidR="008B0A7F" w:rsidRPr="00D734B7" w:rsidRDefault="00DF3A31" w:rsidP="00DF3A31">
      <w:pPr>
        <w:pStyle w:val="ListParagraph"/>
        <w:numPr>
          <w:ilvl w:val="0"/>
          <w:numId w:val="17"/>
        </w:numPr>
        <w:rPr>
          <w:color w:val="000000" w:themeColor="text1"/>
        </w:rPr>
      </w:pPr>
      <w:r w:rsidRPr="00D734B7">
        <w:rPr>
          <w:color w:val="000000" w:themeColor="text1"/>
        </w:rPr>
        <w:t xml:space="preserve">Repetitive health complaints. For example, the person seeks medical attention frequently and maybe </w:t>
      </w:r>
      <w:proofErr w:type="gramStart"/>
      <w:r w:rsidRPr="00D734B7">
        <w:rPr>
          <w:color w:val="000000" w:themeColor="text1"/>
        </w:rPr>
        <w:t>incessantly, or</w:t>
      </w:r>
      <w:proofErr w:type="gramEnd"/>
      <w:r w:rsidRPr="00D734B7">
        <w:rPr>
          <w:color w:val="000000" w:themeColor="text1"/>
        </w:rPr>
        <w:t xml:space="preserve"> is abnormally concerned with their bodily functions.</w:t>
      </w:r>
    </w:p>
    <w:p w14:paraId="0F8A2EB2" w14:textId="77777777" w:rsidR="00DF3A31" w:rsidRPr="00D734B7" w:rsidRDefault="00DF3A31" w:rsidP="00DF3A31">
      <w:pPr>
        <w:pStyle w:val="ListParagraph"/>
        <w:numPr>
          <w:ilvl w:val="0"/>
          <w:numId w:val="17"/>
        </w:numPr>
        <w:rPr>
          <w:color w:val="000000" w:themeColor="text1"/>
        </w:rPr>
      </w:pPr>
      <w:r w:rsidRPr="00D734B7">
        <w:rPr>
          <w:color w:val="000000" w:themeColor="text1"/>
        </w:rPr>
        <w:t>Repetitive, anxious complaints and concerns that are non-health related. For example, they continuously seek attention and reassurance about schedules, meals, laundry, and relationships.</w:t>
      </w:r>
    </w:p>
    <w:p w14:paraId="432E1E4F" w14:textId="77777777" w:rsidR="00DF3A31" w:rsidRPr="00D734B7" w:rsidRDefault="00DF3A31" w:rsidP="00DF3A31">
      <w:pPr>
        <w:pStyle w:val="ListParagraph"/>
        <w:numPr>
          <w:ilvl w:val="0"/>
          <w:numId w:val="17"/>
        </w:numPr>
        <w:rPr>
          <w:color w:val="000000" w:themeColor="text1"/>
        </w:rPr>
      </w:pPr>
      <w:r w:rsidRPr="00D734B7">
        <w:rPr>
          <w:color w:val="000000" w:themeColor="text1"/>
        </w:rPr>
        <w:t>Sad, pained, or worried facial expressions.</w:t>
      </w:r>
    </w:p>
    <w:p w14:paraId="5B4D86A7" w14:textId="77777777" w:rsidR="00DF3A31" w:rsidRPr="00D734B7" w:rsidRDefault="00DF3A31" w:rsidP="00DF3A31">
      <w:pPr>
        <w:pStyle w:val="ListParagraph"/>
        <w:numPr>
          <w:ilvl w:val="0"/>
          <w:numId w:val="17"/>
        </w:numPr>
        <w:rPr>
          <w:color w:val="000000" w:themeColor="text1"/>
        </w:rPr>
      </w:pPr>
      <w:r w:rsidRPr="00D734B7">
        <w:rPr>
          <w:color w:val="000000" w:themeColor="text1"/>
        </w:rPr>
        <w:t>Crying or tearfulness.</w:t>
      </w:r>
    </w:p>
    <w:p w14:paraId="48339939" w14:textId="77777777" w:rsidR="00DF3A31" w:rsidRPr="00D734B7" w:rsidRDefault="00DF3A31" w:rsidP="00DF3A31">
      <w:pPr>
        <w:pStyle w:val="ListParagraph"/>
        <w:numPr>
          <w:ilvl w:val="0"/>
          <w:numId w:val="17"/>
        </w:numPr>
        <w:rPr>
          <w:color w:val="000000" w:themeColor="text1"/>
        </w:rPr>
      </w:pPr>
      <w:r w:rsidRPr="00D734B7">
        <w:rPr>
          <w:color w:val="000000" w:themeColor="text1"/>
        </w:rPr>
        <w:t>Recurrent statements that something terrible is about to happen.</w:t>
      </w:r>
    </w:p>
    <w:p w14:paraId="7E89F067" w14:textId="77777777" w:rsidR="00DF3A31" w:rsidRPr="00D734B7" w:rsidRDefault="00DF3A31" w:rsidP="00DF3A31">
      <w:pPr>
        <w:pStyle w:val="ListParagraph"/>
        <w:numPr>
          <w:ilvl w:val="0"/>
          <w:numId w:val="17"/>
        </w:numPr>
        <w:rPr>
          <w:color w:val="000000" w:themeColor="text1"/>
        </w:rPr>
      </w:pPr>
      <w:r w:rsidRPr="00D734B7">
        <w:rPr>
          <w:color w:val="000000" w:themeColor="text1"/>
        </w:rPr>
        <w:t>Withdrawal from activities of interest. This could include hobbies, prior activities, or being with family and friends.</w:t>
      </w:r>
    </w:p>
    <w:p w14:paraId="0CD89150" w14:textId="77777777" w:rsidR="00DF3A31" w:rsidRPr="00D734B7" w:rsidRDefault="00DF3A31" w:rsidP="00DF3A31">
      <w:pPr>
        <w:pStyle w:val="ListParagraph"/>
        <w:numPr>
          <w:ilvl w:val="0"/>
          <w:numId w:val="17"/>
        </w:numPr>
        <w:rPr>
          <w:color w:val="000000" w:themeColor="text1"/>
        </w:rPr>
      </w:pPr>
      <w:r w:rsidRPr="00D734B7">
        <w:rPr>
          <w:color w:val="000000" w:themeColor="text1"/>
        </w:rPr>
        <w:t>Reduced social interactions.</w:t>
      </w:r>
    </w:p>
    <w:p w14:paraId="4EBF1134" w14:textId="6B4B6122" w:rsidR="00DF3A31" w:rsidRPr="00D734B7" w:rsidRDefault="00DF3A31" w:rsidP="00DF3A31">
      <w:pPr>
        <w:pStyle w:val="ListParagraph"/>
        <w:numPr>
          <w:ilvl w:val="0"/>
          <w:numId w:val="17"/>
        </w:numPr>
        <w:rPr>
          <w:color w:val="000000" w:themeColor="text1"/>
        </w:rPr>
      </w:pPr>
      <w:r w:rsidRPr="00D734B7">
        <w:rPr>
          <w:color w:val="000000" w:themeColor="text1"/>
        </w:rPr>
        <w:t>Expressions of a lack of pleasure in life.</w:t>
      </w:r>
    </w:p>
    <w:p w14:paraId="46C45FA0" w14:textId="17B2717E" w:rsidR="00DF3A31" w:rsidRPr="00D734B7" w:rsidRDefault="00E1768B" w:rsidP="00DF3A31">
      <w:pPr>
        <w:pStyle w:val="Heading4"/>
        <w:rPr>
          <w:color w:val="000000" w:themeColor="text1"/>
        </w:rPr>
      </w:pPr>
      <w:proofErr w:type="spellStart"/>
      <w:r w:rsidRPr="00D734B7">
        <w:rPr>
          <w:color w:val="000000" w:themeColor="text1"/>
        </w:rPr>
        <w:t>interRAI</w:t>
      </w:r>
      <w:proofErr w:type="spellEnd"/>
      <w:r w:rsidRPr="00D734B7">
        <w:rPr>
          <w:color w:val="000000" w:themeColor="text1"/>
        </w:rPr>
        <w:t xml:space="preserve"> – Mood and Behavior – Coding</w:t>
      </w:r>
    </w:p>
    <w:p w14:paraId="24DB9B21" w14:textId="77777777" w:rsidR="00E1768B" w:rsidRPr="00D734B7" w:rsidRDefault="00E1768B" w:rsidP="00945CAA">
      <w:pPr>
        <w:rPr>
          <w:color w:val="000000" w:themeColor="text1"/>
        </w:rPr>
      </w:pPr>
      <w:r w:rsidRPr="00D734B7">
        <w:rPr>
          <w:color w:val="000000" w:themeColor="text1"/>
        </w:rPr>
        <w:t>Observe the person carefully. Engage them in conversation and consult with family members who may have direct knowledge of the person's typical and current behavior. Be sensitive to cultural differences and how these factors could play out in your conversations. Some people may be more or less likely to talk about feelings based on their cultural norms.</w:t>
      </w:r>
    </w:p>
    <w:p w14:paraId="46098917" w14:textId="77777777" w:rsidR="00E1768B" w:rsidRPr="00D734B7" w:rsidRDefault="00E1768B" w:rsidP="00945CAA">
      <w:pPr>
        <w:rPr>
          <w:color w:val="000000" w:themeColor="text1"/>
        </w:rPr>
      </w:pPr>
      <w:r w:rsidRPr="00D734B7">
        <w:rPr>
          <w:color w:val="000000" w:themeColor="text1"/>
        </w:rPr>
        <w:t>The coding is as follows based on your interaction and observation of the person's behavior over the last three days. This score can be based on what you see or what is reported to you regardless of what you believe the cause to be.</w:t>
      </w:r>
    </w:p>
    <w:p w14:paraId="1CB25CC4" w14:textId="29051594"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Not present.</w:t>
      </w:r>
    </w:p>
    <w:p w14:paraId="019D8C2C" w14:textId="0C56EA4A"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proofErr w:type="gramStart"/>
      <w:r w:rsidRPr="00D734B7">
        <w:rPr>
          <w:color w:val="000000" w:themeColor="text1"/>
        </w:rPr>
        <w:t>Present, but</w:t>
      </w:r>
      <w:proofErr w:type="gramEnd"/>
      <w:r w:rsidRPr="00D734B7">
        <w:rPr>
          <w:color w:val="000000" w:themeColor="text1"/>
        </w:rPr>
        <w:t xml:space="preserve"> not exhibited in the last three days. Use this code if you know the condition is present and active even though it was not observed in the last three days.</w:t>
      </w:r>
    </w:p>
    <w:p w14:paraId="1417139B" w14:textId="6C4A70A0"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Exhibited on one to two of the last three days.</w:t>
      </w:r>
    </w:p>
    <w:p w14:paraId="5457EDD0" w14:textId="7D92C39B"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3.</w:t>
      </w:r>
      <w:r w:rsidR="00900C16" w:rsidRPr="00D734B7">
        <w:rPr>
          <w:color w:val="000000" w:themeColor="text1"/>
        </w:rPr>
        <w:t xml:space="preserve"> </w:t>
      </w:r>
      <w:r w:rsidRPr="00D734B7">
        <w:rPr>
          <w:color w:val="000000" w:themeColor="text1"/>
        </w:rPr>
        <w:t>Exhibited daily in the last three days.</w:t>
      </w:r>
    </w:p>
    <w:p w14:paraId="77716748" w14:textId="59CC5D77" w:rsidR="00A615A0" w:rsidRPr="00D734B7" w:rsidRDefault="00E1768B" w:rsidP="00C85A9C">
      <w:pPr>
        <w:pStyle w:val="Heading4"/>
        <w:rPr>
          <w:color w:val="000000" w:themeColor="text1"/>
        </w:rPr>
      </w:pPr>
      <w:proofErr w:type="spellStart"/>
      <w:r w:rsidRPr="00D734B7">
        <w:rPr>
          <w:color w:val="000000" w:themeColor="text1"/>
        </w:rPr>
        <w:t>interRAI</w:t>
      </w:r>
      <w:proofErr w:type="spellEnd"/>
      <w:r w:rsidRPr="00D734B7">
        <w:rPr>
          <w:color w:val="000000" w:themeColor="text1"/>
        </w:rPr>
        <w:t xml:space="preserve"> – Self-Reported Mood</w:t>
      </w:r>
    </w:p>
    <w:p w14:paraId="39E2A64C" w14:textId="69FBF2FF" w:rsidR="00E1768B" w:rsidRPr="00D734B7" w:rsidRDefault="00E1768B" w:rsidP="00945CAA">
      <w:pPr>
        <w:rPr>
          <w:color w:val="000000" w:themeColor="text1"/>
        </w:rPr>
      </w:pPr>
      <w:r w:rsidRPr="00D734B7">
        <w:rPr>
          <w:color w:val="000000" w:themeColor="text1"/>
        </w:rPr>
        <w:t xml:space="preserve">The next subcategory of mood and behavior is their self-reported mood. This is not included in the FED, but </w:t>
      </w:r>
      <w:r w:rsidR="00593011" w:rsidRPr="00D734B7">
        <w:rPr>
          <w:color w:val="000000" w:themeColor="text1"/>
        </w:rPr>
        <w:t xml:space="preserve">it </w:t>
      </w:r>
      <w:r w:rsidRPr="00D734B7">
        <w:rPr>
          <w:color w:val="000000" w:themeColor="text1"/>
        </w:rPr>
        <w:t xml:space="preserve">is included in the </w:t>
      </w:r>
      <w:proofErr w:type="spellStart"/>
      <w:r w:rsidRPr="00D734B7">
        <w:rPr>
          <w:color w:val="000000" w:themeColor="text1"/>
        </w:rPr>
        <w:t>interRAI</w:t>
      </w:r>
      <w:proofErr w:type="spellEnd"/>
      <w:r w:rsidRPr="00D734B7">
        <w:rPr>
          <w:color w:val="000000" w:themeColor="text1"/>
        </w:rPr>
        <w:t xml:space="preserve"> comprehensive needs assessment. This is </w:t>
      </w:r>
      <w:proofErr w:type="gramStart"/>
      <w:r w:rsidRPr="00D734B7">
        <w:rPr>
          <w:color w:val="000000" w:themeColor="text1"/>
        </w:rPr>
        <w:t>fairly straightforward</w:t>
      </w:r>
      <w:proofErr w:type="gramEnd"/>
      <w:r w:rsidRPr="00D734B7">
        <w:rPr>
          <w:color w:val="000000" w:themeColor="text1"/>
        </w:rPr>
        <w:t xml:space="preserve"> to assess. The answers can inform the service coordinator if a behavior health intervention is appropriate and needed.</w:t>
      </w:r>
    </w:p>
    <w:p w14:paraId="2E2BE490" w14:textId="77777777" w:rsidR="00E1768B" w:rsidRPr="00D734B7" w:rsidRDefault="00E1768B" w:rsidP="00945CAA">
      <w:pPr>
        <w:rPr>
          <w:color w:val="000000" w:themeColor="text1"/>
        </w:rPr>
      </w:pPr>
      <w:r w:rsidRPr="00D734B7">
        <w:rPr>
          <w:color w:val="000000" w:themeColor="text1"/>
        </w:rPr>
        <w:t>Ask the individual, “In the last three-days, how often have you felt . . .</w:t>
      </w:r>
    </w:p>
    <w:p w14:paraId="64EC2C7F" w14:textId="77777777" w:rsidR="00E1768B" w:rsidRPr="00D734B7" w:rsidRDefault="00E1768B" w:rsidP="00514263">
      <w:pPr>
        <w:pStyle w:val="ListParagraph"/>
        <w:numPr>
          <w:ilvl w:val="0"/>
          <w:numId w:val="6"/>
        </w:numPr>
        <w:rPr>
          <w:color w:val="000000" w:themeColor="text1"/>
        </w:rPr>
      </w:pPr>
      <w:r w:rsidRPr="00D734B7">
        <w:rPr>
          <w:color w:val="000000" w:themeColor="text1"/>
        </w:rPr>
        <w:t>Little interest or pleasure in things you normally enjoy?”</w:t>
      </w:r>
    </w:p>
    <w:p w14:paraId="5373E937" w14:textId="77777777" w:rsidR="00E1768B" w:rsidRPr="00D734B7" w:rsidRDefault="00E1768B" w:rsidP="00514263">
      <w:pPr>
        <w:pStyle w:val="ListParagraph"/>
        <w:numPr>
          <w:ilvl w:val="0"/>
          <w:numId w:val="6"/>
        </w:numPr>
        <w:rPr>
          <w:color w:val="000000" w:themeColor="text1"/>
        </w:rPr>
      </w:pPr>
      <w:r w:rsidRPr="00D734B7">
        <w:rPr>
          <w:color w:val="000000" w:themeColor="text1"/>
        </w:rPr>
        <w:lastRenderedPageBreak/>
        <w:t>Anxious, restless, or uneasy?”</w:t>
      </w:r>
    </w:p>
    <w:p w14:paraId="20C6BE18" w14:textId="77777777" w:rsidR="00E1768B" w:rsidRPr="00D734B7" w:rsidRDefault="00E1768B" w:rsidP="00514263">
      <w:pPr>
        <w:pStyle w:val="ListParagraph"/>
        <w:numPr>
          <w:ilvl w:val="0"/>
          <w:numId w:val="6"/>
        </w:numPr>
        <w:rPr>
          <w:color w:val="000000" w:themeColor="text1"/>
        </w:rPr>
      </w:pPr>
      <w:r w:rsidRPr="00D734B7">
        <w:rPr>
          <w:color w:val="000000" w:themeColor="text1"/>
        </w:rPr>
        <w:t>Sad, depressed, or hopeless?”</w:t>
      </w:r>
    </w:p>
    <w:p w14:paraId="18A0DFE7" w14:textId="5CAB4179" w:rsidR="00E1768B" w:rsidRPr="00D734B7" w:rsidRDefault="00E1768B" w:rsidP="00945CAA">
      <w:pPr>
        <w:rPr>
          <w:color w:val="000000" w:themeColor="text1"/>
        </w:rPr>
      </w:pPr>
      <w:r w:rsidRPr="00D734B7">
        <w:rPr>
          <w:color w:val="000000" w:themeColor="text1"/>
        </w:rPr>
        <w:t xml:space="preserve">Only the person's responses should be used to rate each item. Do not code </w:t>
      </w:r>
      <w:proofErr w:type="gramStart"/>
      <w:r w:rsidRPr="00D734B7">
        <w:rPr>
          <w:color w:val="000000" w:themeColor="text1"/>
        </w:rPr>
        <w:t>based</w:t>
      </w:r>
      <w:proofErr w:type="gramEnd"/>
      <w:r w:rsidRPr="00D734B7">
        <w:rPr>
          <w:color w:val="000000" w:themeColor="text1"/>
        </w:rPr>
        <w:t xml:space="preserve"> on your inferences or ratings given by family members or caregivers. These items are strictly self-reported. If the person is unable to respond or refuses to respond, use code “8.” Ensure that the individual answers how often they experience the</w:t>
      </w:r>
      <w:r w:rsidR="00593011" w:rsidRPr="00D734B7">
        <w:rPr>
          <w:color w:val="000000" w:themeColor="text1"/>
        </w:rPr>
        <w:t>se</w:t>
      </w:r>
      <w:r w:rsidRPr="00D734B7">
        <w:rPr>
          <w:color w:val="000000" w:themeColor="text1"/>
        </w:rPr>
        <w:t xml:space="preserve"> feelings in the three-day observation window.</w:t>
      </w:r>
    </w:p>
    <w:p w14:paraId="7C7B416A" w14:textId="77777777" w:rsidR="00E1768B" w:rsidRPr="00D734B7" w:rsidRDefault="00E1768B" w:rsidP="00945CAA">
      <w:pPr>
        <w:rPr>
          <w:color w:val="000000" w:themeColor="text1"/>
        </w:rPr>
      </w:pPr>
      <w:r w:rsidRPr="00D734B7">
        <w:rPr>
          <w:color w:val="000000" w:themeColor="text1"/>
        </w:rPr>
        <w:t>The coding is as follows:</w:t>
      </w:r>
    </w:p>
    <w:p w14:paraId="1F896CD5" w14:textId="77777777" w:rsidR="00E1768B" w:rsidRPr="00D734B7" w:rsidRDefault="00E1768B" w:rsidP="00945CAA">
      <w:pPr>
        <w:rPr>
          <w:color w:val="000000" w:themeColor="text1"/>
        </w:rPr>
      </w:pPr>
      <w:r w:rsidRPr="00D734B7">
        <w:rPr>
          <w:color w:val="000000" w:themeColor="text1"/>
        </w:rPr>
        <w:t>0. Not in the last three days.</w:t>
      </w:r>
    </w:p>
    <w:p w14:paraId="7620DB73" w14:textId="77777777" w:rsidR="00E1768B" w:rsidRPr="00D734B7" w:rsidRDefault="00E1768B" w:rsidP="00945CAA">
      <w:pPr>
        <w:rPr>
          <w:color w:val="000000" w:themeColor="text1"/>
        </w:rPr>
      </w:pPr>
      <w:r w:rsidRPr="00D734B7">
        <w:rPr>
          <w:color w:val="000000" w:themeColor="text1"/>
        </w:rPr>
        <w:t xml:space="preserve">1. Not in the last three </w:t>
      </w:r>
      <w:proofErr w:type="gramStart"/>
      <w:r w:rsidRPr="00D734B7">
        <w:rPr>
          <w:color w:val="000000" w:themeColor="text1"/>
        </w:rPr>
        <w:t>days, but</w:t>
      </w:r>
      <w:proofErr w:type="gramEnd"/>
      <w:r w:rsidRPr="00D734B7">
        <w:rPr>
          <w:color w:val="000000" w:themeColor="text1"/>
        </w:rPr>
        <w:t xml:space="preserve"> often feels that way. Use this code only if the person indicates the feeling is frequently present and active but was not experienced in the last three days.</w:t>
      </w:r>
    </w:p>
    <w:p w14:paraId="658FD432" w14:textId="77777777" w:rsidR="00E1768B" w:rsidRPr="00D734B7" w:rsidRDefault="00E1768B" w:rsidP="00945CAA">
      <w:pPr>
        <w:rPr>
          <w:color w:val="000000" w:themeColor="text1"/>
        </w:rPr>
      </w:pPr>
      <w:r w:rsidRPr="00D734B7">
        <w:rPr>
          <w:color w:val="000000" w:themeColor="text1"/>
        </w:rPr>
        <w:t>2. In one to two of the last three days.</w:t>
      </w:r>
    </w:p>
    <w:p w14:paraId="59CC6119" w14:textId="77777777" w:rsidR="00E1768B" w:rsidRPr="00D734B7" w:rsidRDefault="00E1768B" w:rsidP="00945CAA">
      <w:pPr>
        <w:rPr>
          <w:color w:val="000000" w:themeColor="text1"/>
        </w:rPr>
      </w:pPr>
      <w:r w:rsidRPr="00D734B7">
        <w:rPr>
          <w:color w:val="000000" w:themeColor="text1"/>
        </w:rPr>
        <w:t>3. Daily in the last three days.</w:t>
      </w:r>
    </w:p>
    <w:p w14:paraId="10B5DB3F"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8. Person could not or would not respond.</w:t>
      </w:r>
    </w:p>
    <w:p w14:paraId="00241D69" w14:textId="1C871638" w:rsidR="00A615A0" w:rsidRPr="00D734B7" w:rsidRDefault="00E1768B">
      <w:pPr>
        <w:pStyle w:val="Heading2"/>
        <w:rPr>
          <w:color w:val="000000" w:themeColor="text1"/>
        </w:rPr>
      </w:pPr>
      <w:bookmarkStart w:id="34" w:name="_Toc215931874"/>
      <w:r w:rsidRPr="00D734B7">
        <w:rPr>
          <w:color w:val="000000" w:themeColor="text1"/>
        </w:rPr>
        <w:t>FED – Section D</w:t>
      </w:r>
      <w:bookmarkEnd w:id="34"/>
    </w:p>
    <w:p w14:paraId="4B700AB4" w14:textId="31C5B826"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next category on the FED is Functional Status.</w:t>
      </w:r>
    </w:p>
    <w:p w14:paraId="48FFD834" w14:textId="006D9811" w:rsidR="00A615A0" w:rsidRPr="00D734B7" w:rsidRDefault="00E1768B" w:rsidP="00C85A9C">
      <w:pPr>
        <w:pStyle w:val="Heading3"/>
        <w:rPr>
          <w:color w:val="000000" w:themeColor="text1"/>
        </w:rPr>
      </w:pPr>
      <w:bookmarkStart w:id="35" w:name="_Toc215931875"/>
      <w:r w:rsidRPr="00D734B7">
        <w:rPr>
          <w:color w:val="000000" w:themeColor="text1"/>
        </w:rPr>
        <w:t>FED – Section D –</w:t>
      </w:r>
      <w:r w:rsidR="00900C16" w:rsidRPr="00D734B7">
        <w:rPr>
          <w:color w:val="000000" w:themeColor="text1"/>
        </w:rPr>
        <w:t xml:space="preserve"> </w:t>
      </w:r>
      <w:r w:rsidRPr="00D734B7">
        <w:rPr>
          <w:color w:val="000000" w:themeColor="text1"/>
        </w:rPr>
        <w:t>Functional Status (ADL)</w:t>
      </w:r>
      <w:bookmarkEnd w:id="35"/>
    </w:p>
    <w:p w14:paraId="6D203F7F" w14:textId="764A0412" w:rsidR="00E1768B" w:rsidRPr="00D734B7" w:rsidRDefault="00E1768B" w:rsidP="00945CAA">
      <w:pPr>
        <w:rPr>
          <w:color w:val="000000" w:themeColor="text1"/>
        </w:rPr>
      </w:pPr>
      <w:r w:rsidRPr="00D734B7">
        <w:rPr>
          <w:color w:val="000000" w:themeColor="text1"/>
        </w:rPr>
        <w:t xml:space="preserve">For the FED, Functional Status refers to Activities of Daily Living, ADLs. In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xml:space="preserve"> and on the comprehensive needs assessment, this is item G2. ADL self-performance. This identifies what the person did for themselves and how others assisted in the performance of activities of daily living during the last three days. These are all performance-based items. They do not refer to the capacity of an individual to do something. These items are assessed based on actual performance in the assessment window.</w:t>
      </w:r>
      <w:r w:rsidR="004B6C88" w:rsidRPr="00D734B7">
        <w:rPr>
          <w:color w:val="000000" w:themeColor="text1"/>
        </w:rPr>
        <w:t xml:space="preserve"> The</w:t>
      </w:r>
      <w:r w:rsidR="00874BE5" w:rsidRPr="00D734B7">
        <w:rPr>
          <w:color w:val="000000" w:themeColor="text1"/>
        </w:rPr>
        <w:t xml:space="preserve"> items include:</w:t>
      </w:r>
    </w:p>
    <w:p w14:paraId="0B4CC0F2" w14:textId="0EDE73E7" w:rsidR="00A615A0" w:rsidRPr="00D734B7" w:rsidRDefault="00E1768B" w:rsidP="00874BE5">
      <w:pPr>
        <w:pStyle w:val="ListParagraph"/>
        <w:numPr>
          <w:ilvl w:val="0"/>
          <w:numId w:val="15"/>
        </w:numPr>
        <w:rPr>
          <w:color w:val="000000" w:themeColor="text1"/>
        </w:rPr>
      </w:pPr>
      <w:r w:rsidRPr="00D734B7">
        <w:rPr>
          <w:color w:val="000000" w:themeColor="text1"/>
        </w:rPr>
        <w:t>Bathing</w:t>
      </w:r>
      <w:r w:rsidR="00874BE5" w:rsidRPr="00D734B7">
        <w:rPr>
          <w:color w:val="000000" w:themeColor="text1"/>
        </w:rPr>
        <w:t xml:space="preserve">: </w:t>
      </w:r>
      <w:r w:rsidR="00F025FC" w:rsidRPr="00D734B7">
        <w:rPr>
          <w:color w:val="000000" w:themeColor="text1"/>
        </w:rPr>
        <w:t>This refers to how the person takes a full body bath or shower. This also includes how the person transfers in and out of the tub or shower and how each part of the body is bathed, including arms, upper and lower legs, chest, abdomen, and perineal area. This does not include washing the back and the hair. Bird baths in the sink do not count as the person does not transfer in and out of a tub or shower.</w:t>
      </w:r>
    </w:p>
    <w:p w14:paraId="08FCCFBB" w14:textId="247C9164" w:rsidR="00A615A0" w:rsidRPr="00D734B7" w:rsidRDefault="00E1768B" w:rsidP="00874BE5">
      <w:pPr>
        <w:pStyle w:val="ListParagraph"/>
        <w:numPr>
          <w:ilvl w:val="0"/>
          <w:numId w:val="15"/>
        </w:numPr>
        <w:rPr>
          <w:color w:val="000000" w:themeColor="text1"/>
        </w:rPr>
      </w:pPr>
      <w:r w:rsidRPr="00D734B7">
        <w:rPr>
          <w:color w:val="000000" w:themeColor="text1"/>
        </w:rPr>
        <w:t>Personal Hygiene</w:t>
      </w:r>
      <w:r w:rsidR="00874BE5" w:rsidRPr="00D734B7">
        <w:rPr>
          <w:color w:val="000000" w:themeColor="text1"/>
        </w:rPr>
        <w:t xml:space="preserve">: </w:t>
      </w:r>
      <w:r w:rsidR="00F025FC" w:rsidRPr="00D734B7">
        <w:rPr>
          <w:color w:val="000000" w:themeColor="text1"/>
        </w:rPr>
        <w:t>How does the person manage their personal hygiene including combing their hair, brushing their teeth, shaving, applying makeup, and washing and drying their face and hands. This excludes baths and showers. This would include the bird</w:t>
      </w:r>
      <w:r w:rsidR="00593011" w:rsidRPr="00D734B7">
        <w:rPr>
          <w:color w:val="000000" w:themeColor="text1"/>
        </w:rPr>
        <w:t>-</w:t>
      </w:r>
      <w:r w:rsidR="00F025FC" w:rsidRPr="00D734B7">
        <w:rPr>
          <w:color w:val="000000" w:themeColor="text1"/>
        </w:rPr>
        <w:t>bath approach to hygiene.</w:t>
      </w:r>
    </w:p>
    <w:p w14:paraId="263CA603" w14:textId="56079F38" w:rsidR="00A615A0" w:rsidRPr="00D734B7" w:rsidRDefault="00E1768B" w:rsidP="00874BE5">
      <w:pPr>
        <w:pStyle w:val="ListParagraph"/>
        <w:numPr>
          <w:ilvl w:val="0"/>
          <w:numId w:val="15"/>
        </w:numPr>
        <w:rPr>
          <w:color w:val="000000" w:themeColor="text1"/>
        </w:rPr>
      </w:pPr>
      <w:r w:rsidRPr="00D734B7">
        <w:rPr>
          <w:color w:val="000000" w:themeColor="text1"/>
        </w:rPr>
        <w:lastRenderedPageBreak/>
        <w:t>Dressing the Upper Body</w:t>
      </w:r>
      <w:r w:rsidR="00874BE5" w:rsidRPr="00D734B7">
        <w:rPr>
          <w:color w:val="000000" w:themeColor="text1"/>
        </w:rPr>
        <w:t xml:space="preserve">: </w:t>
      </w:r>
      <w:r w:rsidR="00440F75" w:rsidRPr="00D734B7">
        <w:rPr>
          <w:color w:val="000000" w:themeColor="text1"/>
        </w:rPr>
        <w:t xml:space="preserve">How does the person dress and undress above the waist, including prostheses, orthotics, fasteners, pullovers, </w:t>
      </w:r>
      <w:r w:rsidR="00593011" w:rsidRPr="00D734B7">
        <w:rPr>
          <w:color w:val="000000" w:themeColor="text1"/>
        </w:rPr>
        <w:t>etc</w:t>
      </w:r>
      <w:r w:rsidR="00440F75" w:rsidRPr="00D734B7">
        <w:rPr>
          <w:color w:val="000000" w:themeColor="text1"/>
        </w:rPr>
        <w:t>.</w:t>
      </w:r>
    </w:p>
    <w:p w14:paraId="0B0F9574" w14:textId="0BE57A65" w:rsidR="00A615A0" w:rsidRPr="00D734B7" w:rsidRDefault="00E1768B" w:rsidP="00874BE5">
      <w:pPr>
        <w:pStyle w:val="ListParagraph"/>
        <w:numPr>
          <w:ilvl w:val="0"/>
          <w:numId w:val="15"/>
        </w:numPr>
        <w:rPr>
          <w:color w:val="000000" w:themeColor="text1"/>
        </w:rPr>
      </w:pPr>
      <w:r w:rsidRPr="00D734B7">
        <w:rPr>
          <w:color w:val="000000" w:themeColor="text1"/>
        </w:rPr>
        <w:t>Dressing the Lower Body</w:t>
      </w:r>
      <w:r w:rsidR="00874BE5" w:rsidRPr="00D734B7">
        <w:rPr>
          <w:color w:val="000000" w:themeColor="text1"/>
        </w:rPr>
        <w:t xml:space="preserve">: </w:t>
      </w:r>
      <w:r w:rsidR="00440F75" w:rsidRPr="00D734B7">
        <w:rPr>
          <w:color w:val="000000" w:themeColor="text1"/>
        </w:rPr>
        <w:t>How does the person dress and undress from the waist down, including prostheses, orthotics, belt, pants, skirt, shoes, fasteners, etc.</w:t>
      </w:r>
    </w:p>
    <w:p w14:paraId="4567B459" w14:textId="47E61940" w:rsidR="00A615A0" w:rsidRPr="00D734B7" w:rsidRDefault="00E1768B" w:rsidP="00874BE5">
      <w:pPr>
        <w:pStyle w:val="ListParagraph"/>
        <w:numPr>
          <w:ilvl w:val="0"/>
          <w:numId w:val="15"/>
        </w:numPr>
        <w:rPr>
          <w:color w:val="000000" w:themeColor="text1"/>
        </w:rPr>
      </w:pPr>
      <w:r w:rsidRPr="00D734B7">
        <w:rPr>
          <w:color w:val="000000" w:themeColor="text1"/>
        </w:rPr>
        <w:t>Walking</w:t>
      </w:r>
      <w:r w:rsidR="00874BE5" w:rsidRPr="00D734B7">
        <w:rPr>
          <w:color w:val="000000" w:themeColor="text1"/>
        </w:rPr>
        <w:t xml:space="preserve">: </w:t>
      </w:r>
      <w:r w:rsidR="00FC39E7" w:rsidRPr="00D734B7">
        <w:rPr>
          <w:color w:val="000000" w:themeColor="text1"/>
        </w:rPr>
        <w:t>How the person walks between locations on the same floor indoors.</w:t>
      </w:r>
    </w:p>
    <w:p w14:paraId="32EA17EE" w14:textId="5F759845" w:rsidR="00A615A0" w:rsidRPr="00D734B7" w:rsidRDefault="00E1768B" w:rsidP="00874BE5">
      <w:pPr>
        <w:pStyle w:val="ListParagraph"/>
        <w:numPr>
          <w:ilvl w:val="0"/>
          <w:numId w:val="15"/>
        </w:numPr>
        <w:rPr>
          <w:color w:val="000000" w:themeColor="text1"/>
        </w:rPr>
      </w:pPr>
      <w:r w:rsidRPr="00D734B7">
        <w:rPr>
          <w:color w:val="000000" w:themeColor="text1"/>
        </w:rPr>
        <w:t>Locomotio</w:t>
      </w:r>
      <w:r w:rsidR="00514263" w:rsidRPr="00D734B7">
        <w:rPr>
          <w:color w:val="000000" w:themeColor="text1"/>
        </w:rPr>
        <w:t>n</w:t>
      </w:r>
      <w:r w:rsidR="00874BE5" w:rsidRPr="00D734B7">
        <w:rPr>
          <w:color w:val="000000" w:themeColor="text1"/>
        </w:rPr>
        <w:t xml:space="preserve">: </w:t>
      </w:r>
      <w:r w:rsidR="00FC39E7" w:rsidRPr="00D734B7">
        <w:rPr>
          <w:color w:val="000000" w:themeColor="text1"/>
        </w:rPr>
        <w:t xml:space="preserve">How the person moves between locations on the same floor, walking or wheeling. If the person uses a wheelchair, this measures self-sufficiency once </w:t>
      </w:r>
      <w:r w:rsidR="00593011" w:rsidRPr="00D734B7">
        <w:rPr>
          <w:color w:val="000000" w:themeColor="text1"/>
        </w:rPr>
        <w:t>they are</w:t>
      </w:r>
      <w:r w:rsidR="00FC39E7" w:rsidRPr="00D734B7">
        <w:rPr>
          <w:color w:val="000000" w:themeColor="text1"/>
        </w:rPr>
        <w:t xml:space="preserve"> in the chair.</w:t>
      </w:r>
    </w:p>
    <w:p w14:paraId="24C12287" w14:textId="585746BB" w:rsidR="00A615A0" w:rsidRPr="00D734B7" w:rsidRDefault="00E1768B" w:rsidP="00874BE5">
      <w:pPr>
        <w:pStyle w:val="ListParagraph"/>
        <w:numPr>
          <w:ilvl w:val="0"/>
          <w:numId w:val="15"/>
        </w:numPr>
        <w:rPr>
          <w:color w:val="000000" w:themeColor="text1"/>
        </w:rPr>
      </w:pPr>
      <w:r w:rsidRPr="00D734B7">
        <w:rPr>
          <w:color w:val="000000" w:themeColor="text1"/>
        </w:rPr>
        <w:t>Transfer Toilet</w:t>
      </w:r>
      <w:r w:rsidR="00874BE5" w:rsidRPr="00D734B7">
        <w:rPr>
          <w:color w:val="000000" w:themeColor="text1"/>
        </w:rPr>
        <w:t xml:space="preserve">: </w:t>
      </w:r>
      <w:r w:rsidR="00FC39E7" w:rsidRPr="00D734B7">
        <w:rPr>
          <w:color w:val="000000" w:themeColor="text1"/>
        </w:rPr>
        <w:t>How the person moves on and off the toilet or commode.</w:t>
      </w:r>
    </w:p>
    <w:p w14:paraId="2A5F5A06" w14:textId="0FE4D03B" w:rsidR="00A615A0" w:rsidRPr="00D734B7" w:rsidRDefault="00E1768B" w:rsidP="00874BE5">
      <w:pPr>
        <w:pStyle w:val="ListParagraph"/>
        <w:numPr>
          <w:ilvl w:val="0"/>
          <w:numId w:val="15"/>
        </w:numPr>
        <w:rPr>
          <w:color w:val="000000" w:themeColor="text1"/>
        </w:rPr>
      </w:pPr>
      <w:r w:rsidRPr="00D734B7">
        <w:rPr>
          <w:color w:val="000000" w:themeColor="text1"/>
        </w:rPr>
        <w:t>Toilet Use</w:t>
      </w:r>
      <w:r w:rsidR="00874BE5" w:rsidRPr="00D734B7">
        <w:rPr>
          <w:color w:val="000000" w:themeColor="text1"/>
        </w:rPr>
        <w:t xml:space="preserve">: </w:t>
      </w:r>
      <w:r w:rsidR="000D39B2" w:rsidRPr="00D734B7">
        <w:rPr>
          <w:color w:val="000000" w:themeColor="text1"/>
        </w:rPr>
        <w:t>How the person uses the toilet room or commode or bedpan or urinal. How the person cleanses themselves after toilet use or incontinent episodes. How the person changes a bed pad, manages ostomy or catheters, and adjusts their clothes. This item does not include transferring on and off the toilet.</w:t>
      </w:r>
    </w:p>
    <w:p w14:paraId="3629DDDF" w14:textId="77777777" w:rsidR="00874BE5" w:rsidRPr="00D734B7" w:rsidRDefault="00E1768B" w:rsidP="00945CAA">
      <w:pPr>
        <w:pStyle w:val="ListParagraph"/>
        <w:numPr>
          <w:ilvl w:val="0"/>
          <w:numId w:val="15"/>
        </w:numPr>
        <w:rPr>
          <w:color w:val="000000" w:themeColor="text1"/>
        </w:rPr>
      </w:pPr>
      <w:r w:rsidRPr="00D734B7">
        <w:rPr>
          <w:color w:val="000000" w:themeColor="text1"/>
        </w:rPr>
        <w:t>Bed Mobility</w:t>
      </w:r>
      <w:r w:rsidR="00874BE5" w:rsidRPr="00D734B7">
        <w:rPr>
          <w:color w:val="000000" w:themeColor="text1"/>
        </w:rPr>
        <w:t xml:space="preserve">: </w:t>
      </w:r>
      <w:r w:rsidR="000D39B2" w:rsidRPr="00D734B7">
        <w:rPr>
          <w:color w:val="000000" w:themeColor="text1"/>
        </w:rPr>
        <w:t>How the person moves to and from a lying down position, turns from side to side, and positions their body while in bed.</w:t>
      </w:r>
    </w:p>
    <w:p w14:paraId="4508FE07" w14:textId="499A0E78" w:rsidR="00A615A0" w:rsidRPr="00D734B7" w:rsidRDefault="00E1768B" w:rsidP="00945CAA">
      <w:pPr>
        <w:pStyle w:val="ListParagraph"/>
        <w:numPr>
          <w:ilvl w:val="0"/>
          <w:numId w:val="15"/>
        </w:numPr>
        <w:rPr>
          <w:color w:val="000000" w:themeColor="text1"/>
        </w:rPr>
      </w:pPr>
      <w:r w:rsidRPr="00D734B7">
        <w:rPr>
          <w:color w:val="000000" w:themeColor="text1"/>
        </w:rPr>
        <w:t>Eating</w:t>
      </w:r>
      <w:r w:rsidR="00874BE5" w:rsidRPr="00D734B7">
        <w:rPr>
          <w:color w:val="000000" w:themeColor="text1"/>
        </w:rPr>
        <w:t xml:space="preserve">: </w:t>
      </w:r>
      <w:r w:rsidR="000D39B2" w:rsidRPr="00D734B7">
        <w:rPr>
          <w:color w:val="000000" w:themeColor="text1"/>
        </w:rPr>
        <w:t>How the person eats and drinks regardless of skill. It includes the intake of nutrition by other means such as a feeding tube or total parenteral nutrition.</w:t>
      </w:r>
    </w:p>
    <w:p w14:paraId="05063DEB" w14:textId="5BDC1608" w:rsidR="00A615A0" w:rsidRPr="00D734B7" w:rsidRDefault="00E1768B" w:rsidP="00874BE5">
      <w:pPr>
        <w:pStyle w:val="Heading3"/>
        <w:rPr>
          <w:color w:val="000000" w:themeColor="text1"/>
        </w:rPr>
      </w:pPr>
      <w:bookmarkStart w:id="36" w:name="_Toc215931876"/>
      <w:r w:rsidRPr="00D734B7">
        <w:rPr>
          <w:color w:val="000000" w:themeColor="text1"/>
        </w:rPr>
        <w:t>FED – Section D.1 – Key Assessors of ADL</w:t>
      </w:r>
      <w:bookmarkEnd w:id="36"/>
    </w:p>
    <w:p w14:paraId="556181D4" w14:textId="3D38ABBB" w:rsidR="00E1768B" w:rsidRPr="00D734B7" w:rsidRDefault="00E1768B" w:rsidP="00945CAA">
      <w:pPr>
        <w:rPr>
          <w:color w:val="000000" w:themeColor="text1"/>
        </w:rPr>
      </w:pPr>
      <w:r w:rsidRPr="00D734B7">
        <w:rPr>
          <w:color w:val="000000" w:themeColor="text1"/>
        </w:rPr>
        <w:t>What are key terms that assessors must know to accurately assess activities of daily living?</w:t>
      </w:r>
    </w:p>
    <w:p w14:paraId="60A7BAF3" w14:textId="77777777" w:rsidR="00E1768B" w:rsidRPr="00D734B7" w:rsidRDefault="00E1768B" w:rsidP="00945CAA">
      <w:pPr>
        <w:rPr>
          <w:color w:val="000000" w:themeColor="text1"/>
        </w:rPr>
      </w:pPr>
      <w:r w:rsidRPr="00D734B7">
        <w:rPr>
          <w:color w:val="000000" w:themeColor="text1"/>
        </w:rPr>
        <w:t xml:space="preserve">Startup help. Startup help means that someone assists the person by providing articles, devices, or any other kind of preparation necessary for the person to perform an activity by themselves. This could include handing the person an item. If the person hands them a brush and then remains nearby to watch over the person, that would be supervision. Startup help could include handing the person a walker or cane. It could be handing the person a bedpan. It could be placing all the items necessary for the person to manage their ostomy appliance. It could include cutting meat or opening containers. Startup simply refers to providing a tool or service so that the person can perform an activity. </w:t>
      </w:r>
    </w:p>
    <w:p w14:paraId="4DD22360" w14:textId="254D667F"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Weight bearing. Weight bearing assistance is different than startup help or guidance support. The level of weight bearing support is crucial. It is important to differentiate between guiding movements with minimal physical contact and taking someone's weight. If the individual requires someone to hold them under their armpits </w:t>
      </w:r>
      <w:proofErr w:type="gramStart"/>
      <w:r w:rsidRPr="00D734B7">
        <w:rPr>
          <w:color w:val="000000" w:themeColor="text1"/>
        </w:rPr>
        <w:t>in order to</w:t>
      </w:r>
      <w:proofErr w:type="gramEnd"/>
      <w:r w:rsidRPr="00D734B7">
        <w:rPr>
          <w:color w:val="000000" w:themeColor="text1"/>
        </w:rPr>
        <w:t xml:space="preserve"> stand, that is weight bearing. If the person only requires minimal physical contact because they might get wobbly when standing, that is not weight bearing. If a person needs a caregiver to guide their arms into a sleeve (due to a lack of feeling in their hands), that is guidance, not weight bearing. If the person cannot lift their arms (due to shoulder injuries or sarcopenia), then the assistance is weight bearing. The caregiver must lift the arm for the person.</w:t>
      </w:r>
    </w:p>
    <w:p w14:paraId="5A6A7DE9" w14:textId="4FB979BB" w:rsidR="00A615A0" w:rsidRPr="00D734B7" w:rsidRDefault="00E1768B" w:rsidP="00874BE5">
      <w:pPr>
        <w:pStyle w:val="Heading3"/>
        <w:rPr>
          <w:color w:val="000000" w:themeColor="text1"/>
        </w:rPr>
      </w:pPr>
      <w:bookmarkStart w:id="37" w:name="_Toc215931877"/>
      <w:r w:rsidRPr="00D734B7">
        <w:rPr>
          <w:color w:val="000000" w:themeColor="text1"/>
        </w:rPr>
        <w:lastRenderedPageBreak/>
        <w:t>FED – Section D.1 – Functional Status – Coding ADLs</w:t>
      </w:r>
      <w:bookmarkEnd w:id="37"/>
    </w:p>
    <w:p w14:paraId="68CFC1DF" w14:textId="4DCA5348" w:rsidR="00E1768B" w:rsidRPr="00D734B7" w:rsidRDefault="00E1768B" w:rsidP="00945CAA">
      <w:pPr>
        <w:rPr>
          <w:color w:val="000000" w:themeColor="text1"/>
        </w:rPr>
      </w:pPr>
      <w:r w:rsidRPr="00D734B7">
        <w:rPr>
          <w:color w:val="000000" w:themeColor="text1"/>
        </w:rPr>
        <w:t xml:space="preserve">Assessors get a sense of each ADL area within the three-day observation period. Determine what the person does for </w:t>
      </w:r>
      <w:proofErr w:type="gramStart"/>
      <w:r w:rsidRPr="00D734B7">
        <w:rPr>
          <w:color w:val="000000" w:themeColor="text1"/>
        </w:rPr>
        <w:t>themselves</w:t>
      </w:r>
      <w:proofErr w:type="gramEnd"/>
      <w:r w:rsidRPr="00D734B7">
        <w:rPr>
          <w:color w:val="000000" w:themeColor="text1"/>
        </w:rPr>
        <w:t xml:space="preserve"> and the nature of any assistance provided.</w:t>
      </w:r>
    </w:p>
    <w:p w14:paraId="07059EF9" w14:textId="77777777" w:rsidR="00E1768B" w:rsidRPr="00D734B7" w:rsidRDefault="00E1768B" w:rsidP="00945CAA">
      <w:pPr>
        <w:rPr>
          <w:color w:val="000000" w:themeColor="text1"/>
        </w:rPr>
      </w:pPr>
      <w:r w:rsidRPr="00D734B7">
        <w:rPr>
          <w:color w:val="000000" w:themeColor="text1"/>
        </w:rPr>
        <w:t xml:space="preserve">When an ADL self-performance varies over the last three days, identify the three most dependent episodes (the ones in which the person received the greatest amount of assistance) and focus on those for scoring. Assessors may use a combination of asking questions of the individual and their caregivers as well as observing how the person performs physical tasks. Weigh </w:t>
      </w:r>
      <w:proofErr w:type="gramStart"/>
      <w:r w:rsidRPr="00D734B7">
        <w:rPr>
          <w:color w:val="000000" w:themeColor="text1"/>
        </w:rPr>
        <w:t>all of</w:t>
      </w:r>
      <w:proofErr w:type="gramEnd"/>
      <w:r w:rsidRPr="00D734B7">
        <w:rPr>
          <w:color w:val="000000" w:themeColor="text1"/>
        </w:rPr>
        <w:t xml:space="preserve"> the responses to come up with a consistent picture of the person's performance.</w:t>
      </w:r>
    </w:p>
    <w:p w14:paraId="71D19F08" w14:textId="77777777" w:rsidR="00E1768B" w:rsidRPr="00D734B7" w:rsidRDefault="00E1768B" w:rsidP="00945CAA">
      <w:pPr>
        <w:rPr>
          <w:color w:val="000000" w:themeColor="text1"/>
        </w:rPr>
      </w:pPr>
      <w:r w:rsidRPr="00D734B7">
        <w:rPr>
          <w:color w:val="000000" w:themeColor="text1"/>
        </w:rPr>
        <w:t>Guidance on coding.</w:t>
      </w:r>
    </w:p>
    <w:p w14:paraId="11CEE46E" w14:textId="77777777" w:rsidR="00E1768B" w:rsidRPr="00D734B7" w:rsidRDefault="00E1768B" w:rsidP="00945CAA">
      <w:pPr>
        <w:rPr>
          <w:color w:val="000000" w:themeColor="text1"/>
        </w:rPr>
      </w:pPr>
      <w:r w:rsidRPr="00D734B7">
        <w:rPr>
          <w:color w:val="000000" w:themeColor="text1"/>
        </w:rPr>
        <w:t xml:space="preserve">If </w:t>
      </w:r>
      <w:proofErr w:type="gramStart"/>
      <w:r w:rsidRPr="00D734B7">
        <w:rPr>
          <w:color w:val="000000" w:themeColor="text1"/>
        </w:rPr>
        <w:t>all of</w:t>
      </w:r>
      <w:proofErr w:type="gramEnd"/>
      <w:r w:rsidRPr="00D734B7">
        <w:rPr>
          <w:color w:val="000000" w:themeColor="text1"/>
        </w:rPr>
        <w:t xml:space="preserve"> the episodes in the last three days were performed at the same level of support, score the ADL at that level.</w:t>
      </w:r>
    </w:p>
    <w:p w14:paraId="491E0070" w14:textId="17310770" w:rsidR="00E1768B" w:rsidRPr="00D734B7" w:rsidRDefault="00E1768B" w:rsidP="00945CAA">
      <w:pPr>
        <w:rPr>
          <w:color w:val="000000" w:themeColor="text1"/>
        </w:rPr>
      </w:pPr>
      <w:r w:rsidRPr="00D734B7">
        <w:rPr>
          <w:color w:val="000000" w:themeColor="text1"/>
        </w:rPr>
        <w:t xml:space="preserve">If any of the episodes </w:t>
      </w:r>
      <w:r w:rsidR="00927725" w:rsidRPr="00D734B7">
        <w:rPr>
          <w:color w:val="000000" w:themeColor="text1"/>
        </w:rPr>
        <w:t xml:space="preserve">were </w:t>
      </w:r>
      <w:r w:rsidRPr="00D734B7">
        <w:rPr>
          <w:color w:val="000000" w:themeColor="text1"/>
        </w:rPr>
        <w:t>at level “6,” total dependence, and other episodes were less dependent, the item should be scored as a “5</w:t>
      </w:r>
      <w:r w:rsidR="00927725" w:rsidRPr="00D734B7">
        <w:rPr>
          <w:color w:val="000000" w:themeColor="text1"/>
        </w:rPr>
        <w:t>,</w:t>
      </w:r>
      <w:r w:rsidRPr="00D734B7">
        <w:rPr>
          <w:color w:val="000000" w:themeColor="text1"/>
        </w:rPr>
        <w:t>” maximal assistance.</w:t>
      </w:r>
    </w:p>
    <w:p w14:paraId="1F03B689"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Otherwise, focus on the three most dependent episodes.</w:t>
      </w:r>
    </w:p>
    <w:p w14:paraId="47D644AD" w14:textId="314B91FE" w:rsidR="00A615A0" w:rsidRPr="00D734B7" w:rsidRDefault="00E1768B" w:rsidP="00D66A24">
      <w:pPr>
        <w:pStyle w:val="Heading3"/>
        <w:rPr>
          <w:color w:val="000000" w:themeColor="text1"/>
        </w:rPr>
      </w:pPr>
      <w:bookmarkStart w:id="38" w:name="_Toc215931878"/>
      <w:r w:rsidRPr="00D734B7">
        <w:rPr>
          <w:color w:val="000000" w:themeColor="text1"/>
        </w:rPr>
        <w:t>FED – Section D –</w:t>
      </w:r>
      <w:r w:rsidR="00900C16" w:rsidRPr="00D734B7">
        <w:rPr>
          <w:color w:val="000000" w:themeColor="text1"/>
        </w:rPr>
        <w:t xml:space="preserve"> </w:t>
      </w:r>
      <w:r w:rsidRPr="00D734B7">
        <w:rPr>
          <w:color w:val="000000" w:themeColor="text1"/>
        </w:rPr>
        <w:t>Functional Status – Coding</w:t>
      </w:r>
      <w:bookmarkEnd w:id="38"/>
    </w:p>
    <w:p w14:paraId="01B99749" w14:textId="77777777" w:rsidR="00E1768B" w:rsidRPr="00D734B7" w:rsidRDefault="00E1768B" w:rsidP="00945CAA">
      <w:pPr>
        <w:rPr>
          <w:color w:val="000000" w:themeColor="text1"/>
        </w:rPr>
      </w:pPr>
      <w:r w:rsidRPr="00D734B7">
        <w:rPr>
          <w:color w:val="000000" w:themeColor="text1"/>
        </w:rPr>
        <w:t>The coding for ADLs is as follows:</w:t>
      </w:r>
    </w:p>
    <w:p w14:paraId="47ED85ED" w14:textId="0515843C"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Independent. No physical assistance, setup, or supervision in any episode.</w:t>
      </w:r>
    </w:p>
    <w:p w14:paraId="7E37B258" w14:textId="5DF36F28"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Independent, setup help only. Articles</w:t>
      </w:r>
      <w:r w:rsidR="00927725" w:rsidRPr="00D734B7">
        <w:rPr>
          <w:color w:val="000000" w:themeColor="text1"/>
        </w:rPr>
        <w:t>,</w:t>
      </w:r>
      <w:r w:rsidRPr="00D734B7">
        <w:rPr>
          <w:color w:val="000000" w:themeColor="text1"/>
        </w:rPr>
        <w:t xml:space="preserve"> tools</w:t>
      </w:r>
      <w:r w:rsidR="00927725" w:rsidRPr="00D734B7">
        <w:rPr>
          <w:color w:val="000000" w:themeColor="text1"/>
        </w:rPr>
        <w:t>,</w:t>
      </w:r>
      <w:r w:rsidRPr="00D734B7">
        <w:rPr>
          <w:color w:val="000000" w:themeColor="text1"/>
        </w:rPr>
        <w:t xml:space="preserve"> or devices were provided or placed within reach, but there was no physical assistance or supervision in any episode. This could include a caregiver laying out </w:t>
      </w:r>
      <w:proofErr w:type="gramStart"/>
      <w:r w:rsidRPr="00D734B7">
        <w:rPr>
          <w:color w:val="000000" w:themeColor="text1"/>
        </w:rPr>
        <w:t>all of</w:t>
      </w:r>
      <w:proofErr w:type="gramEnd"/>
      <w:r w:rsidRPr="00D734B7">
        <w:rPr>
          <w:color w:val="000000" w:themeColor="text1"/>
        </w:rPr>
        <w:t xml:space="preserve"> the items necessary to change an ostomy appliance. It could be a caregiver setting up pots, pans</w:t>
      </w:r>
      <w:r w:rsidR="00927725" w:rsidRPr="00D734B7">
        <w:rPr>
          <w:color w:val="000000" w:themeColor="text1"/>
        </w:rPr>
        <w:t>,</w:t>
      </w:r>
      <w:r w:rsidRPr="00D734B7">
        <w:rPr>
          <w:color w:val="000000" w:themeColor="text1"/>
        </w:rPr>
        <w:t xml:space="preserve"> and cutting boards to assist in meal preparation.</w:t>
      </w:r>
    </w:p>
    <w:p w14:paraId="39C1DFF1" w14:textId="0C90A602"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Supervision. The person required oversight or cueing to complete the task. This could be more prevalent when the person is experiencing cognitive decline. The caregiver may set out the person’s clothes and remind them to change from pajamas to appropriate day wear. The caregiver may stay in the bedroom to ensure that the individual puts on their clothing accurately and completely.</w:t>
      </w:r>
    </w:p>
    <w:p w14:paraId="5DB8F1B2" w14:textId="5FABC105" w:rsidR="00E1768B" w:rsidRPr="00D734B7" w:rsidRDefault="00E1768B" w:rsidP="00945CAA">
      <w:pPr>
        <w:rPr>
          <w:color w:val="000000" w:themeColor="text1"/>
        </w:rPr>
      </w:pPr>
      <w:r w:rsidRPr="00D734B7">
        <w:rPr>
          <w:color w:val="000000" w:themeColor="text1"/>
        </w:rPr>
        <w:t>3.</w:t>
      </w:r>
      <w:r w:rsidR="00900C16" w:rsidRPr="00D734B7">
        <w:rPr>
          <w:color w:val="000000" w:themeColor="text1"/>
        </w:rPr>
        <w:t xml:space="preserve"> </w:t>
      </w:r>
      <w:r w:rsidRPr="00D734B7">
        <w:rPr>
          <w:color w:val="000000" w:themeColor="text1"/>
        </w:rPr>
        <w:t>Limited assistance. Limited assistance includes guided maneuvering of limbs and physical guidance without taking weight. This could include guiding a hand or arm into a sleeve without taking the weight of the arm. The person lifted their arm on their own.</w:t>
      </w:r>
    </w:p>
    <w:p w14:paraId="1B1D2F01" w14:textId="304D6074" w:rsidR="00E1768B" w:rsidRPr="00D734B7" w:rsidRDefault="00E1768B" w:rsidP="00945CAA">
      <w:pPr>
        <w:rPr>
          <w:color w:val="000000" w:themeColor="text1"/>
        </w:rPr>
      </w:pPr>
      <w:r w:rsidRPr="00D734B7">
        <w:rPr>
          <w:color w:val="000000" w:themeColor="text1"/>
        </w:rPr>
        <w:t>4.</w:t>
      </w:r>
      <w:r w:rsidR="00900C16" w:rsidRPr="00D734B7">
        <w:rPr>
          <w:color w:val="000000" w:themeColor="text1"/>
        </w:rPr>
        <w:t xml:space="preserve"> </w:t>
      </w:r>
      <w:r w:rsidRPr="00D734B7">
        <w:rPr>
          <w:color w:val="000000" w:themeColor="text1"/>
        </w:rPr>
        <w:t>Extensive assistance. This is weight-bearing support including lifting limbs by one helper with the person still performing 50% or more of the task. Only one helper is needed, and that helper provides weight</w:t>
      </w:r>
      <w:r w:rsidR="00927725" w:rsidRPr="00D734B7">
        <w:rPr>
          <w:color w:val="000000" w:themeColor="text1"/>
        </w:rPr>
        <w:t>-</w:t>
      </w:r>
      <w:r w:rsidRPr="00D734B7">
        <w:rPr>
          <w:color w:val="000000" w:themeColor="text1"/>
        </w:rPr>
        <w:t xml:space="preserve">bearing support, including lifting limbs. This </w:t>
      </w:r>
      <w:r w:rsidRPr="00D734B7">
        <w:rPr>
          <w:color w:val="000000" w:themeColor="text1"/>
        </w:rPr>
        <w:lastRenderedPageBreak/>
        <w:t>would include supporting an individual who could not lift their arm into a sleeve. If the caregiver had to lift the arm up into the sleeve, taking the weight of the arm, that would be coded as extensive assistance.</w:t>
      </w:r>
    </w:p>
    <w:p w14:paraId="49A0FE12" w14:textId="3F753AD0" w:rsidR="00E1768B" w:rsidRPr="00D734B7" w:rsidRDefault="00E1768B" w:rsidP="00945CAA">
      <w:pPr>
        <w:rPr>
          <w:color w:val="000000" w:themeColor="text1"/>
        </w:rPr>
      </w:pPr>
      <w:r w:rsidRPr="00D734B7">
        <w:rPr>
          <w:color w:val="000000" w:themeColor="text1"/>
        </w:rPr>
        <w:t>5.</w:t>
      </w:r>
      <w:r w:rsidR="00900C16" w:rsidRPr="00D734B7">
        <w:rPr>
          <w:color w:val="000000" w:themeColor="text1"/>
        </w:rPr>
        <w:t xml:space="preserve"> </w:t>
      </w:r>
      <w:r w:rsidRPr="00D734B7">
        <w:rPr>
          <w:color w:val="000000" w:themeColor="text1"/>
        </w:rPr>
        <w:t>Maximal assistance. This is weight</w:t>
      </w:r>
      <w:r w:rsidR="00927725" w:rsidRPr="00D734B7">
        <w:rPr>
          <w:color w:val="000000" w:themeColor="text1"/>
        </w:rPr>
        <w:t>-</w:t>
      </w:r>
      <w:r w:rsidRPr="00D734B7">
        <w:rPr>
          <w:color w:val="000000" w:themeColor="text1"/>
        </w:rPr>
        <w:t>bearing support including lifting limbs by two or more helpers. It can include weight</w:t>
      </w:r>
      <w:r w:rsidR="00927725" w:rsidRPr="00D734B7">
        <w:rPr>
          <w:color w:val="000000" w:themeColor="text1"/>
        </w:rPr>
        <w:t>-</w:t>
      </w:r>
      <w:r w:rsidRPr="00D734B7">
        <w:rPr>
          <w:color w:val="000000" w:themeColor="text1"/>
        </w:rPr>
        <w:t>bearing support for more than 50% of the task. If two caregivers are required to maneuver an individual into a shower chair, that would be maximal assistance. If the person requires a lift system to get out of bed, that is maximal assistance.</w:t>
      </w:r>
    </w:p>
    <w:p w14:paraId="403FE808" w14:textId="2961DEB6" w:rsidR="00E1768B" w:rsidRPr="00D734B7" w:rsidRDefault="00E1768B" w:rsidP="00945CAA">
      <w:pPr>
        <w:rPr>
          <w:color w:val="000000" w:themeColor="text1"/>
        </w:rPr>
      </w:pPr>
      <w:r w:rsidRPr="00D734B7">
        <w:rPr>
          <w:color w:val="000000" w:themeColor="text1"/>
        </w:rPr>
        <w:t>6.</w:t>
      </w:r>
      <w:r w:rsidR="00900C16" w:rsidRPr="00D734B7">
        <w:rPr>
          <w:color w:val="000000" w:themeColor="text1"/>
        </w:rPr>
        <w:t xml:space="preserve"> </w:t>
      </w:r>
      <w:r w:rsidRPr="00D734B7">
        <w:rPr>
          <w:color w:val="000000" w:themeColor="text1"/>
        </w:rPr>
        <w:t>Total dependence. In a situation of total dependence, the entire task is performed by others in all episodes. That is full performance by others during all episodes.</w:t>
      </w:r>
    </w:p>
    <w:p w14:paraId="6EB55F88" w14:textId="028B6F9D"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8.</w:t>
      </w:r>
      <w:r w:rsidR="00900C16" w:rsidRPr="00D734B7">
        <w:rPr>
          <w:color w:val="000000" w:themeColor="text1"/>
        </w:rPr>
        <w:t xml:space="preserve"> </w:t>
      </w:r>
      <w:r w:rsidRPr="00D734B7">
        <w:rPr>
          <w:color w:val="000000" w:themeColor="text1"/>
        </w:rPr>
        <w:t>Activity did not occur during the entire period. This is occasionally confused with a person's total dependence in an ADL activity. Non-occurrence is non-occurrence regardless of the person's ability to self</w:t>
      </w:r>
      <w:r w:rsidR="00927725" w:rsidRPr="00D734B7">
        <w:rPr>
          <w:color w:val="000000" w:themeColor="text1"/>
        </w:rPr>
        <w:t>-</w:t>
      </w:r>
      <w:r w:rsidRPr="00D734B7">
        <w:rPr>
          <w:color w:val="000000" w:themeColor="text1"/>
        </w:rPr>
        <w:t>perform. If the person did not bathe in the three-day observation period, the coding is “8.” The comments section is used to provide reasons and context.</w:t>
      </w:r>
    </w:p>
    <w:p w14:paraId="1EE1AA3F" w14:textId="573E848D" w:rsidR="00A615A0" w:rsidRPr="00D734B7" w:rsidRDefault="00E1768B" w:rsidP="00D66A24">
      <w:pPr>
        <w:pStyle w:val="Heading3"/>
        <w:rPr>
          <w:color w:val="000000" w:themeColor="text1"/>
        </w:rPr>
      </w:pPr>
      <w:bookmarkStart w:id="39" w:name="_Toc215931879"/>
      <w:r w:rsidRPr="00D734B7">
        <w:rPr>
          <w:color w:val="000000" w:themeColor="text1"/>
        </w:rPr>
        <w:t>FED – Section D.1 – Bathing</w:t>
      </w:r>
      <w:bookmarkEnd w:id="39"/>
    </w:p>
    <w:p w14:paraId="4F67FBBE" w14:textId="77777777" w:rsidR="00E1768B" w:rsidRPr="00D734B7" w:rsidRDefault="00E1768B" w:rsidP="00945CAA">
      <w:pPr>
        <w:rPr>
          <w:color w:val="000000" w:themeColor="text1"/>
        </w:rPr>
      </w:pPr>
      <w:r w:rsidRPr="00D734B7">
        <w:rPr>
          <w:color w:val="000000" w:themeColor="text1"/>
        </w:rPr>
        <w:t>To illustrate consistent coding, we’ll review case studies involving bathing, walking, and toileting.</w:t>
      </w:r>
    </w:p>
    <w:p w14:paraId="7C7836A7" w14:textId="77777777" w:rsidR="00E1768B" w:rsidRPr="00D734B7" w:rsidRDefault="00E1768B" w:rsidP="00945CAA">
      <w:pPr>
        <w:rPr>
          <w:color w:val="000000" w:themeColor="text1"/>
        </w:rPr>
      </w:pPr>
      <w:r w:rsidRPr="00D734B7">
        <w:rPr>
          <w:color w:val="000000" w:themeColor="text1"/>
        </w:rPr>
        <w:t>We’ll start with bathing. Let’s review the definitions of bathing and personal hygiene to be clear on the differences.</w:t>
      </w:r>
    </w:p>
    <w:p w14:paraId="6164EDDB" w14:textId="0DF9FD8A" w:rsidR="00E1768B" w:rsidRPr="00D734B7" w:rsidRDefault="00E1768B" w:rsidP="00945CAA">
      <w:pPr>
        <w:rPr>
          <w:color w:val="000000" w:themeColor="text1"/>
        </w:rPr>
      </w:pPr>
      <w:r w:rsidRPr="00D734B7">
        <w:rPr>
          <w:color w:val="000000" w:themeColor="text1"/>
        </w:rPr>
        <w:t>Bathing. This refers to how the person takes a full</w:t>
      </w:r>
      <w:r w:rsidR="00927725" w:rsidRPr="00D734B7">
        <w:rPr>
          <w:color w:val="000000" w:themeColor="text1"/>
        </w:rPr>
        <w:t>-</w:t>
      </w:r>
      <w:r w:rsidRPr="00D734B7">
        <w:rPr>
          <w:color w:val="000000" w:themeColor="text1"/>
        </w:rPr>
        <w:t>body bath or shower. This includes how the person transfers in and out of the tub or shower and how each part of the body is bathed including arms, upper and lower legs, chest, abdomen, and perineal area. This does not include washing the back and the hair. Bird baths in the sink do not count as the person does not transfer in and out of a tub or shower.</w:t>
      </w:r>
    </w:p>
    <w:p w14:paraId="155CB467" w14:textId="28EE4D01" w:rsidR="00E1768B" w:rsidRPr="00D734B7" w:rsidRDefault="00E1768B" w:rsidP="00945CAA">
      <w:pPr>
        <w:rPr>
          <w:color w:val="000000" w:themeColor="text1"/>
        </w:rPr>
      </w:pPr>
      <w:r w:rsidRPr="00D734B7">
        <w:rPr>
          <w:color w:val="000000" w:themeColor="text1"/>
        </w:rPr>
        <w:t>Personal hygiene. How does the person manage their personal hygiene including, combing their hair, brushing their teeth, shaving, applying makeup, and washing the</w:t>
      </w:r>
      <w:r w:rsidR="00927725" w:rsidRPr="00D734B7">
        <w:rPr>
          <w:color w:val="000000" w:themeColor="text1"/>
        </w:rPr>
        <w:t>ir</w:t>
      </w:r>
      <w:r w:rsidRPr="00D734B7">
        <w:rPr>
          <w:color w:val="000000" w:themeColor="text1"/>
        </w:rPr>
        <w:t xml:space="preserve"> face and hands. This excludes baths and showers. This would include the bird</w:t>
      </w:r>
      <w:r w:rsidR="00927725" w:rsidRPr="00D734B7">
        <w:rPr>
          <w:color w:val="000000" w:themeColor="text1"/>
        </w:rPr>
        <w:t>-</w:t>
      </w:r>
      <w:r w:rsidRPr="00D734B7">
        <w:rPr>
          <w:color w:val="000000" w:themeColor="text1"/>
        </w:rPr>
        <w:t>bath approach to hygiene.</w:t>
      </w:r>
    </w:p>
    <w:p w14:paraId="29B5DE72" w14:textId="18CF9DDF" w:rsidR="00A615A0" w:rsidRPr="00D734B7" w:rsidRDefault="00E1768B" w:rsidP="00D66A24">
      <w:pPr>
        <w:pStyle w:val="Heading4"/>
        <w:rPr>
          <w:color w:val="000000" w:themeColor="text1"/>
        </w:rPr>
      </w:pPr>
      <w:r w:rsidRPr="00D734B7">
        <w:rPr>
          <w:color w:val="000000" w:themeColor="text1"/>
        </w:rPr>
        <w:t>Mrs. Smith</w:t>
      </w:r>
    </w:p>
    <w:p w14:paraId="6A307B2F" w14:textId="5BA93A82" w:rsidR="007023CE" w:rsidRPr="00D734B7" w:rsidRDefault="007023CE" w:rsidP="007023CE">
      <w:pPr>
        <w:rPr>
          <w:color w:val="000000" w:themeColor="text1"/>
        </w:rPr>
      </w:pPr>
      <w:r w:rsidRPr="00D734B7">
        <w:rPr>
          <w:color w:val="000000" w:themeColor="text1"/>
        </w:rPr>
        <w:t>In conversation, Mrs. Smith indicates that she kept clean every day in the three</w:t>
      </w:r>
      <w:r w:rsidR="00927725" w:rsidRPr="00D734B7">
        <w:rPr>
          <w:color w:val="000000" w:themeColor="text1"/>
        </w:rPr>
        <w:t>-</w:t>
      </w:r>
      <w:r w:rsidRPr="00D734B7">
        <w:rPr>
          <w:color w:val="000000" w:themeColor="text1"/>
        </w:rPr>
        <w:t>day observation period. The service coordinator asked her about her bathing routine. Mrs. Smith described cleaning herself at the sink. (She noted that she is a little unsteady and does not want to fall in the shower.)</w:t>
      </w:r>
    </w:p>
    <w:p w14:paraId="56F8B478" w14:textId="2775ADF9" w:rsidR="007023CE" w:rsidRPr="00D734B7" w:rsidRDefault="007023CE" w:rsidP="007023CE">
      <w:pPr>
        <w:rPr>
          <w:color w:val="000000" w:themeColor="text1"/>
        </w:rPr>
      </w:pPr>
      <w:r w:rsidRPr="00D734B7">
        <w:rPr>
          <w:color w:val="000000" w:themeColor="text1"/>
        </w:rPr>
        <w:t xml:space="preserve">She used soap and water and was able to reach most of her body. The bathing category would be coded as </w:t>
      </w:r>
      <w:r w:rsidR="00B53C37" w:rsidRPr="00D734B7">
        <w:rPr>
          <w:color w:val="000000" w:themeColor="text1"/>
        </w:rPr>
        <w:t>“</w:t>
      </w:r>
      <w:r w:rsidR="00927725" w:rsidRPr="00D734B7">
        <w:rPr>
          <w:color w:val="000000" w:themeColor="text1"/>
        </w:rPr>
        <w:t>8</w:t>
      </w:r>
      <w:r w:rsidRPr="00D734B7">
        <w:rPr>
          <w:color w:val="000000" w:themeColor="text1"/>
        </w:rPr>
        <w:t>,</w:t>
      </w:r>
      <w:r w:rsidR="00B53C37" w:rsidRPr="00D734B7">
        <w:rPr>
          <w:color w:val="000000" w:themeColor="text1"/>
        </w:rPr>
        <w:t>”</w:t>
      </w:r>
      <w:r w:rsidRPr="00D734B7">
        <w:rPr>
          <w:color w:val="000000" w:themeColor="text1"/>
        </w:rPr>
        <w:t xml:space="preserve"> activity did not occur. The bathing description includes using a tub or shower and being able to transfer in and out of the tub or shower.</w:t>
      </w:r>
    </w:p>
    <w:p w14:paraId="3D3A506D" w14:textId="1CD1C33A" w:rsidR="007023CE" w:rsidRPr="00D734B7" w:rsidRDefault="007023CE" w:rsidP="007023CE">
      <w:pPr>
        <w:rPr>
          <w:color w:val="000000" w:themeColor="text1"/>
        </w:rPr>
      </w:pPr>
      <w:r w:rsidRPr="00D734B7">
        <w:rPr>
          <w:color w:val="000000" w:themeColor="text1"/>
        </w:rPr>
        <w:lastRenderedPageBreak/>
        <w:t>Because Mrs. Smith did not use the tub and shower, the activity did not occur. The service coordinator would use the comments field to provide context and more information.</w:t>
      </w:r>
    </w:p>
    <w:p w14:paraId="4123733C" w14:textId="224B6596" w:rsidR="00A615A0" w:rsidRPr="00D734B7" w:rsidRDefault="007023CE" w:rsidP="007023CE">
      <w:pPr>
        <w:rPr>
          <w:color w:val="000000" w:themeColor="text1"/>
        </w:rPr>
      </w:pPr>
      <w:r w:rsidRPr="00D734B7">
        <w:rPr>
          <w:color w:val="000000" w:themeColor="text1"/>
        </w:rPr>
        <w:t xml:space="preserve">Mrs. Smith’s personal hygiene coding would be </w:t>
      </w:r>
      <w:r w:rsidR="00B53C37" w:rsidRPr="00D734B7">
        <w:rPr>
          <w:color w:val="000000" w:themeColor="text1"/>
        </w:rPr>
        <w:t>‘</w:t>
      </w:r>
      <w:r w:rsidR="00927725" w:rsidRPr="00D734B7">
        <w:rPr>
          <w:color w:val="000000" w:themeColor="text1"/>
        </w:rPr>
        <w:t>0</w:t>
      </w:r>
      <w:r w:rsidR="00B53C37" w:rsidRPr="00D734B7">
        <w:rPr>
          <w:color w:val="000000" w:themeColor="text1"/>
        </w:rPr>
        <w:t>”</w:t>
      </w:r>
      <w:r w:rsidR="00927725" w:rsidRPr="00D734B7">
        <w:rPr>
          <w:color w:val="000000" w:themeColor="text1"/>
        </w:rPr>
        <w:t xml:space="preserve"> </w:t>
      </w:r>
      <w:r w:rsidRPr="00D734B7">
        <w:rPr>
          <w:color w:val="000000" w:themeColor="text1"/>
        </w:rPr>
        <w:t xml:space="preserve">for independent. She </w:t>
      </w:r>
      <w:proofErr w:type="gramStart"/>
      <w:r w:rsidRPr="00D734B7">
        <w:rPr>
          <w:color w:val="000000" w:themeColor="text1"/>
        </w:rPr>
        <w:t>is able to</w:t>
      </w:r>
      <w:proofErr w:type="gramEnd"/>
      <w:r w:rsidRPr="00D734B7">
        <w:rPr>
          <w:color w:val="000000" w:themeColor="text1"/>
        </w:rPr>
        <w:t xml:space="preserve"> complete the activities noted.</w:t>
      </w:r>
    </w:p>
    <w:p w14:paraId="0808AB01" w14:textId="5CEF39E5" w:rsidR="00A615A0" w:rsidRPr="00D734B7" w:rsidRDefault="00E1768B" w:rsidP="00D66A24">
      <w:pPr>
        <w:pStyle w:val="Heading4"/>
        <w:rPr>
          <w:color w:val="000000" w:themeColor="text1"/>
        </w:rPr>
      </w:pPr>
      <w:r w:rsidRPr="00D734B7">
        <w:rPr>
          <w:color w:val="000000" w:themeColor="text1"/>
        </w:rPr>
        <w:t>Mr. Jones</w:t>
      </w:r>
    </w:p>
    <w:p w14:paraId="30DF275B" w14:textId="6960EC66" w:rsidR="007023CE" w:rsidRPr="00D734B7" w:rsidRDefault="007023CE" w:rsidP="007023CE">
      <w:pPr>
        <w:rPr>
          <w:color w:val="000000" w:themeColor="text1"/>
        </w:rPr>
      </w:pPr>
      <w:r w:rsidRPr="00D734B7">
        <w:rPr>
          <w:color w:val="000000" w:themeColor="text1"/>
        </w:rPr>
        <w:t>Mr. Jones has a spinal injury. He is paralyzed from the chest down. He noted that his caregiver assists him with bathing on a fixed schedule.</w:t>
      </w:r>
    </w:p>
    <w:p w14:paraId="17C7304B" w14:textId="09784F53" w:rsidR="007023CE" w:rsidRPr="00D734B7" w:rsidRDefault="007023CE" w:rsidP="007023CE">
      <w:pPr>
        <w:rPr>
          <w:color w:val="000000" w:themeColor="text1"/>
        </w:rPr>
      </w:pPr>
      <w:r w:rsidRPr="00D734B7">
        <w:rPr>
          <w:color w:val="000000" w:themeColor="text1"/>
        </w:rPr>
        <w:t>The schedule is Tuesday and Saturday. The assessor is there on a Friday. The assessment reference date is Friday. The three</w:t>
      </w:r>
      <w:r w:rsidR="00927725" w:rsidRPr="00D734B7">
        <w:rPr>
          <w:color w:val="000000" w:themeColor="text1"/>
        </w:rPr>
        <w:t>-</w:t>
      </w:r>
      <w:r w:rsidRPr="00D734B7">
        <w:rPr>
          <w:color w:val="000000" w:themeColor="text1"/>
        </w:rPr>
        <w:t>day observation window is Wednesday, Thursday, and Friday.</w:t>
      </w:r>
    </w:p>
    <w:p w14:paraId="0C0A16F7" w14:textId="1AF90659" w:rsidR="007023CE" w:rsidRPr="00D734B7" w:rsidRDefault="007023CE" w:rsidP="007023CE">
      <w:pPr>
        <w:rPr>
          <w:color w:val="000000" w:themeColor="text1"/>
        </w:rPr>
      </w:pPr>
      <w:r w:rsidRPr="00D734B7">
        <w:rPr>
          <w:color w:val="000000" w:themeColor="text1"/>
        </w:rPr>
        <w:t xml:space="preserve">Therefore, the coding for bathing in this case would be </w:t>
      </w:r>
      <w:r w:rsidR="00101E3B" w:rsidRPr="00D734B7">
        <w:rPr>
          <w:color w:val="000000" w:themeColor="text1"/>
        </w:rPr>
        <w:t>“</w:t>
      </w:r>
      <w:r w:rsidR="00927725" w:rsidRPr="00D734B7">
        <w:rPr>
          <w:color w:val="000000" w:themeColor="text1"/>
        </w:rPr>
        <w:t>8</w:t>
      </w:r>
      <w:r w:rsidR="00101E3B" w:rsidRPr="00D734B7">
        <w:rPr>
          <w:color w:val="000000" w:themeColor="text1"/>
        </w:rPr>
        <w:t>”</w:t>
      </w:r>
      <w:r w:rsidR="00927725" w:rsidRPr="00D734B7">
        <w:rPr>
          <w:color w:val="000000" w:themeColor="text1"/>
        </w:rPr>
        <w:t xml:space="preserve"> </w:t>
      </w:r>
      <w:r w:rsidRPr="00D734B7">
        <w:rPr>
          <w:color w:val="000000" w:themeColor="text1"/>
        </w:rPr>
        <w:t>for activity did not occur. The assessor would use the comments field to provide context, in this case, the schedule and notes about the level of assistance required.</w:t>
      </w:r>
    </w:p>
    <w:p w14:paraId="3006E671" w14:textId="5FB7EC02" w:rsidR="007023CE" w:rsidRPr="00D734B7" w:rsidRDefault="007023CE" w:rsidP="007023CE">
      <w:pPr>
        <w:rPr>
          <w:color w:val="000000" w:themeColor="text1"/>
        </w:rPr>
      </w:pPr>
      <w:r w:rsidRPr="00D734B7">
        <w:rPr>
          <w:color w:val="000000" w:themeColor="text1"/>
        </w:rPr>
        <w:t>Mr. Jones does have daily assistance to complete personal hygiene activities. His caregiver transfers him to his chair</w:t>
      </w:r>
      <w:r w:rsidR="00927725" w:rsidRPr="00D734B7">
        <w:rPr>
          <w:color w:val="000000" w:themeColor="text1"/>
        </w:rPr>
        <w:t xml:space="preserve">; </w:t>
      </w:r>
      <w:r w:rsidRPr="00D734B7">
        <w:rPr>
          <w:color w:val="000000" w:themeColor="text1"/>
        </w:rPr>
        <w:t>pushes him to the bathroom</w:t>
      </w:r>
      <w:r w:rsidR="00927725" w:rsidRPr="00D734B7">
        <w:rPr>
          <w:color w:val="000000" w:themeColor="text1"/>
        </w:rPr>
        <w:t xml:space="preserve">; and </w:t>
      </w:r>
      <w:r w:rsidRPr="00D734B7">
        <w:rPr>
          <w:color w:val="000000" w:themeColor="text1"/>
        </w:rPr>
        <w:t>lays out his comb, toothbrush, toothpaste, and mouthwash so that Mr. Jones can reach them.</w:t>
      </w:r>
    </w:p>
    <w:p w14:paraId="45095B9B" w14:textId="3EDC5AB5" w:rsidR="007023CE" w:rsidRPr="00D734B7" w:rsidRDefault="007023CE" w:rsidP="007023CE">
      <w:pPr>
        <w:rPr>
          <w:color w:val="000000" w:themeColor="text1"/>
        </w:rPr>
      </w:pPr>
      <w:r w:rsidRPr="00D734B7">
        <w:rPr>
          <w:color w:val="000000" w:themeColor="text1"/>
        </w:rPr>
        <w:t>Mr. Jones has use of his upper body and can comb his own hair, brush his teeth, and use mouthwash on his own. His caregiver stays close by in case he drops items or spills things. Mr. Jones cannot yet retrieve things from the floor.</w:t>
      </w:r>
    </w:p>
    <w:p w14:paraId="4F94EF8C" w14:textId="4C199038" w:rsidR="00A615A0" w:rsidRPr="00D734B7" w:rsidRDefault="007023CE" w:rsidP="007023CE">
      <w:pPr>
        <w:rPr>
          <w:color w:val="000000" w:themeColor="text1"/>
        </w:rPr>
      </w:pPr>
      <w:r w:rsidRPr="00D734B7">
        <w:rPr>
          <w:color w:val="000000" w:themeColor="text1"/>
        </w:rPr>
        <w:t xml:space="preserve">The coding for personal hygiene would be </w:t>
      </w:r>
      <w:r w:rsidR="00101E3B" w:rsidRPr="00D734B7">
        <w:rPr>
          <w:color w:val="000000" w:themeColor="text1"/>
        </w:rPr>
        <w:t>“</w:t>
      </w:r>
      <w:r w:rsidR="00927725" w:rsidRPr="00D734B7">
        <w:rPr>
          <w:color w:val="000000" w:themeColor="text1"/>
        </w:rPr>
        <w:t>1</w:t>
      </w:r>
      <w:r w:rsidR="00101E3B" w:rsidRPr="00D734B7">
        <w:rPr>
          <w:color w:val="000000" w:themeColor="text1"/>
        </w:rPr>
        <w:t>”</w:t>
      </w:r>
      <w:r w:rsidR="00927725" w:rsidRPr="00D734B7">
        <w:rPr>
          <w:color w:val="000000" w:themeColor="text1"/>
        </w:rPr>
        <w:t xml:space="preserve"> </w:t>
      </w:r>
      <w:r w:rsidRPr="00D734B7">
        <w:rPr>
          <w:color w:val="000000" w:themeColor="text1"/>
        </w:rPr>
        <w:t>for independent, setup help only. Does this affect Mr. Jones’ eligibility? Not significantly. Due to his paralysis and use of a wheelchair, Mr. Jones would likely score with enough full or partial deficits in other areas. The comments would be critical to any appeals of the determination.</w:t>
      </w:r>
    </w:p>
    <w:p w14:paraId="1FB6B1D1" w14:textId="0C2F7575" w:rsidR="00A615A0" w:rsidRPr="00D734B7" w:rsidRDefault="00E1768B" w:rsidP="00186DD5">
      <w:pPr>
        <w:pStyle w:val="Heading3"/>
        <w:rPr>
          <w:color w:val="000000" w:themeColor="text1"/>
        </w:rPr>
      </w:pPr>
      <w:bookmarkStart w:id="40" w:name="_Toc215931880"/>
      <w:r w:rsidRPr="00D734B7">
        <w:rPr>
          <w:color w:val="000000" w:themeColor="text1"/>
        </w:rPr>
        <w:t>FED – Section D.1 – Walking and Locomotion</w:t>
      </w:r>
      <w:bookmarkEnd w:id="40"/>
    </w:p>
    <w:p w14:paraId="58DB3914" w14:textId="77777777" w:rsidR="00E1768B" w:rsidRPr="00D734B7" w:rsidRDefault="00E1768B" w:rsidP="00945CAA">
      <w:pPr>
        <w:rPr>
          <w:color w:val="000000" w:themeColor="text1"/>
        </w:rPr>
      </w:pPr>
      <w:r w:rsidRPr="00D734B7">
        <w:rPr>
          <w:color w:val="000000" w:themeColor="text1"/>
        </w:rPr>
        <w:t>Now, let’s review walking and locomotion.</w:t>
      </w:r>
    </w:p>
    <w:p w14:paraId="6FDB60DB" w14:textId="77777777" w:rsidR="00E1768B" w:rsidRPr="00D734B7" w:rsidRDefault="00E1768B" w:rsidP="00945CAA">
      <w:pPr>
        <w:rPr>
          <w:color w:val="000000" w:themeColor="text1"/>
        </w:rPr>
      </w:pPr>
      <w:r w:rsidRPr="00D734B7">
        <w:rPr>
          <w:color w:val="000000" w:themeColor="text1"/>
        </w:rPr>
        <w:t>As a reminder, the definitions are:</w:t>
      </w:r>
    </w:p>
    <w:p w14:paraId="2E35F725" w14:textId="77777777" w:rsidR="00E1768B" w:rsidRPr="00D734B7" w:rsidRDefault="00E1768B" w:rsidP="00945CAA">
      <w:pPr>
        <w:rPr>
          <w:color w:val="000000" w:themeColor="text1"/>
        </w:rPr>
      </w:pPr>
      <w:r w:rsidRPr="00D734B7">
        <w:rPr>
          <w:color w:val="000000" w:themeColor="text1"/>
        </w:rPr>
        <w:t>Walking. How the person walks between locations on the same floor indoors.</w:t>
      </w:r>
    </w:p>
    <w:p w14:paraId="10EF04D4" w14:textId="77777777" w:rsidR="00E1768B" w:rsidRPr="00D734B7" w:rsidRDefault="00E1768B" w:rsidP="00945CAA">
      <w:pPr>
        <w:rPr>
          <w:color w:val="000000" w:themeColor="text1"/>
        </w:rPr>
      </w:pPr>
      <w:r w:rsidRPr="00D734B7">
        <w:rPr>
          <w:color w:val="000000" w:themeColor="text1"/>
        </w:rPr>
        <w:t>Locomotion. How the person moves between locations on the same floor, walking or wheeling. If the person uses a wheelchair, this measures self-sufficiency once he or she is in the chair.</w:t>
      </w:r>
    </w:p>
    <w:p w14:paraId="51F1CCBB" w14:textId="77777777" w:rsidR="00E1768B" w:rsidRPr="00D734B7" w:rsidRDefault="00E1768B" w:rsidP="00945CAA">
      <w:pPr>
        <w:rPr>
          <w:color w:val="000000" w:themeColor="text1"/>
        </w:rPr>
      </w:pPr>
      <w:r w:rsidRPr="00D734B7">
        <w:rPr>
          <w:color w:val="000000" w:themeColor="text1"/>
        </w:rPr>
        <w:t>Let’s revisit Mrs. Smith and Mr. Jones.</w:t>
      </w:r>
    </w:p>
    <w:p w14:paraId="1708DE52" w14:textId="26588FFD" w:rsidR="00E1768B" w:rsidRPr="00D734B7" w:rsidRDefault="00E1768B" w:rsidP="00945CAA">
      <w:pPr>
        <w:rPr>
          <w:color w:val="000000" w:themeColor="text1"/>
        </w:rPr>
      </w:pPr>
      <w:r w:rsidRPr="00D734B7">
        <w:rPr>
          <w:color w:val="000000" w:themeColor="text1"/>
        </w:rPr>
        <w:lastRenderedPageBreak/>
        <w:t xml:space="preserve">Mrs. Smith’s concerns with getting in and out of the shower are reasonable. The assessor observes that, </w:t>
      </w:r>
      <w:proofErr w:type="gramStart"/>
      <w:r w:rsidRPr="00D734B7">
        <w:rPr>
          <w:color w:val="000000" w:themeColor="text1"/>
        </w:rPr>
        <w:t>in order to</w:t>
      </w:r>
      <w:proofErr w:type="gramEnd"/>
      <w:r w:rsidRPr="00D734B7">
        <w:rPr>
          <w:color w:val="000000" w:themeColor="text1"/>
        </w:rPr>
        <w:t xml:space="preserve"> walk across a room safely, Mrs. Smith holds onto furniture the whole way. She does not need to be supervised. The coding for walking would be “0,” independent. Mrs. Smith does not need setup or assistance. For locomotion, she would also be scored as a </w:t>
      </w:r>
      <w:r w:rsidR="007332C4" w:rsidRPr="00D734B7">
        <w:rPr>
          <w:color w:val="000000" w:themeColor="text1"/>
        </w:rPr>
        <w:t>“</w:t>
      </w:r>
      <w:r w:rsidRPr="00D734B7">
        <w:rPr>
          <w:color w:val="000000" w:themeColor="text1"/>
        </w:rPr>
        <w:t xml:space="preserve">0.” She uses the wall to provide balance moving between rooms. Assessors can note this in the </w:t>
      </w:r>
      <w:r w:rsidR="009D617B" w:rsidRPr="00D734B7">
        <w:rPr>
          <w:color w:val="000000" w:themeColor="text1"/>
        </w:rPr>
        <w:t>c</w:t>
      </w:r>
      <w:r w:rsidRPr="00D734B7">
        <w:rPr>
          <w:color w:val="000000" w:themeColor="text1"/>
        </w:rPr>
        <w:t>omments to flag potential future needs for assistive devices.</w:t>
      </w:r>
    </w:p>
    <w:p w14:paraId="70A2EAB0" w14:textId="36EF352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Mr. Jones uses a wheelchair. He does not walk. His score would be a “6” for total dependence. Locomotion assesses Mr. Jones</w:t>
      </w:r>
      <w:r w:rsidR="00BA72E9" w:rsidRPr="00D734B7">
        <w:rPr>
          <w:color w:val="000000" w:themeColor="text1"/>
        </w:rPr>
        <w:t>’</w:t>
      </w:r>
      <w:r w:rsidRPr="00D734B7">
        <w:rPr>
          <w:color w:val="000000" w:themeColor="text1"/>
        </w:rPr>
        <w:t xml:space="preserve"> performance in the wheelchair. Depending on his skill, he may be coded as a “2” or “3” for partial assistance, if he needs help maneuvering.</w:t>
      </w:r>
    </w:p>
    <w:p w14:paraId="18BFA548" w14:textId="2A25DC73" w:rsidR="00A615A0" w:rsidRPr="00D734B7" w:rsidRDefault="00E1768B" w:rsidP="00186DD5">
      <w:pPr>
        <w:pStyle w:val="Heading3"/>
        <w:rPr>
          <w:color w:val="000000" w:themeColor="text1"/>
        </w:rPr>
      </w:pPr>
      <w:bookmarkStart w:id="41" w:name="_Toc215931881"/>
      <w:r w:rsidRPr="00D734B7">
        <w:rPr>
          <w:color w:val="000000" w:themeColor="text1"/>
        </w:rPr>
        <w:t>FED – Section D.1 – Toileting</w:t>
      </w:r>
      <w:bookmarkEnd w:id="41"/>
    </w:p>
    <w:p w14:paraId="6D1844CF" w14:textId="77777777" w:rsidR="00E1768B" w:rsidRPr="00D734B7" w:rsidRDefault="00E1768B" w:rsidP="00945CAA">
      <w:pPr>
        <w:rPr>
          <w:color w:val="000000" w:themeColor="text1"/>
        </w:rPr>
      </w:pPr>
      <w:r w:rsidRPr="00D734B7">
        <w:rPr>
          <w:color w:val="000000" w:themeColor="text1"/>
        </w:rPr>
        <w:t>Finally, let’s review the two categories related to toileting. As a reminder, the definitions are:</w:t>
      </w:r>
    </w:p>
    <w:p w14:paraId="4EE8EF4F" w14:textId="77777777" w:rsidR="00E1768B" w:rsidRPr="00D734B7" w:rsidRDefault="00E1768B" w:rsidP="00945CAA">
      <w:pPr>
        <w:rPr>
          <w:color w:val="000000" w:themeColor="text1"/>
        </w:rPr>
      </w:pPr>
      <w:r w:rsidRPr="00D734B7">
        <w:rPr>
          <w:color w:val="000000" w:themeColor="text1"/>
        </w:rPr>
        <w:t>Transfer toilet. How the person moves on and off the toilet or commode.</w:t>
      </w:r>
    </w:p>
    <w:p w14:paraId="5B313B12" w14:textId="77777777" w:rsidR="00E1768B" w:rsidRPr="00D734B7" w:rsidRDefault="00E1768B" w:rsidP="00945CAA">
      <w:pPr>
        <w:rPr>
          <w:color w:val="000000" w:themeColor="text1"/>
        </w:rPr>
      </w:pPr>
      <w:r w:rsidRPr="00D734B7">
        <w:rPr>
          <w:color w:val="000000" w:themeColor="text1"/>
        </w:rPr>
        <w:t>Toilet use. How the person uses the toilet room or commode or bedpan or urinal. How the person cleanses themselves after toilet use or incontinent episodes. How the person changes a bed pad, manages ostomy or catheters, and adjusts their clothes. This item does not include transfer on and off the toilet.</w:t>
      </w:r>
    </w:p>
    <w:p w14:paraId="38D0469B" w14:textId="77777777" w:rsidR="00E1768B" w:rsidRPr="00D734B7" w:rsidRDefault="00E1768B" w:rsidP="00945CAA">
      <w:pPr>
        <w:rPr>
          <w:color w:val="000000" w:themeColor="text1"/>
        </w:rPr>
      </w:pPr>
      <w:r w:rsidRPr="00D734B7">
        <w:rPr>
          <w:color w:val="000000" w:themeColor="text1"/>
        </w:rPr>
        <w:t xml:space="preserve">Let’s </w:t>
      </w:r>
      <w:proofErr w:type="gramStart"/>
      <w:r w:rsidRPr="00D734B7">
        <w:rPr>
          <w:color w:val="000000" w:themeColor="text1"/>
        </w:rPr>
        <w:t>take a look</w:t>
      </w:r>
      <w:proofErr w:type="gramEnd"/>
      <w:r w:rsidRPr="00D734B7">
        <w:rPr>
          <w:color w:val="000000" w:themeColor="text1"/>
        </w:rPr>
        <w:t xml:space="preserve"> at the cases of Mr. Johnson, Mrs. Smith, and Mrs. Violet.</w:t>
      </w:r>
    </w:p>
    <w:p w14:paraId="696973D9" w14:textId="4772CF6E" w:rsidR="00E1768B" w:rsidRPr="00D734B7" w:rsidRDefault="00E1768B" w:rsidP="00945CAA">
      <w:pPr>
        <w:rPr>
          <w:color w:val="000000" w:themeColor="text1"/>
        </w:rPr>
      </w:pPr>
      <w:r w:rsidRPr="00D734B7">
        <w:rPr>
          <w:color w:val="000000" w:themeColor="text1"/>
        </w:rPr>
        <w:t xml:space="preserve">Mr. Johnson discloses that he </w:t>
      </w:r>
      <w:proofErr w:type="gramStart"/>
      <w:r w:rsidRPr="00D734B7">
        <w:rPr>
          <w:color w:val="000000" w:themeColor="text1"/>
        </w:rPr>
        <w:t>is able to</w:t>
      </w:r>
      <w:proofErr w:type="gramEnd"/>
      <w:r w:rsidRPr="00D734B7">
        <w:rPr>
          <w:color w:val="000000" w:themeColor="text1"/>
        </w:rPr>
        <w:t xml:space="preserve"> get on and </w:t>
      </w:r>
      <w:proofErr w:type="gramStart"/>
      <w:r w:rsidRPr="00D734B7">
        <w:rPr>
          <w:color w:val="000000" w:themeColor="text1"/>
        </w:rPr>
        <w:t>off of</w:t>
      </w:r>
      <w:proofErr w:type="gramEnd"/>
      <w:r w:rsidRPr="00D734B7">
        <w:rPr>
          <w:color w:val="000000" w:themeColor="text1"/>
        </w:rPr>
        <w:t xml:space="preserve"> the toilet if he uses his cane or walker. The coding for transfer toilet would be “0” for independent. He is also able to clean up afterward. For times when he uses a diuretic pill, he uses a continence pad, but he has taken that pill for over a week. The coding for toilet use would be “0” for independence.</w:t>
      </w:r>
    </w:p>
    <w:p w14:paraId="24924344" w14:textId="77777777" w:rsidR="00E1768B" w:rsidRPr="00D734B7" w:rsidRDefault="00E1768B" w:rsidP="00945CAA">
      <w:pPr>
        <w:rPr>
          <w:color w:val="000000" w:themeColor="text1"/>
        </w:rPr>
      </w:pPr>
      <w:r w:rsidRPr="00D734B7">
        <w:rPr>
          <w:color w:val="000000" w:themeColor="text1"/>
        </w:rPr>
        <w:t>Mrs. Smith had an indwelling catheter and an ostomy bag in place during the entire three-day assessment period. She never used the commode. The coding for transfer toilet would be “Activity Did Not Occur.” Mrs. Smith managed all aspects of changing, cleaning and using the catheter and ostomy. The coding for toilet use would be “0” for independence.</w:t>
      </w:r>
    </w:p>
    <w:p w14:paraId="0A7E2360"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Mrs. Violet is new to her condition. She can no longer walk due to a degenerative disease. In the last three days, she has toileted only with the help of her caregiver to transfer her out of her chair and onto the toilet. The code would be “6” for total dependence. Her caregiver also arranged her clothes afterward. Mrs. Violet washed her hands at the sink after her caregiver positioned her. The coding for toilet use would be “5” for maximal assistance or “6” for total dependence.</w:t>
      </w:r>
    </w:p>
    <w:p w14:paraId="7191B8D3" w14:textId="69E1B07E" w:rsidR="00A615A0" w:rsidRPr="00D734B7" w:rsidRDefault="00E1768B" w:rsidP="00186DD5">
      <w:pPr>
        <w:pStyle w:val="Heading3"/>
        <w:rPr>
          <w:color w:val="000000" w:themeColor="text1"/>
        </w:rPr>
      </w:pPr>
      <w:bookmarkStart w:id="42" w:name="_Toc215931882"/>
      <w:r w:rsidRPr="00D734B7">
        <w:rPr>
          <w:color w:val="000000" w:themeColor="text1"/>
        </w:rPr>
        <w:lastRenderedPageBreak/>
        <w:t>FED – Section D – Functional Status –</w:t>
      </w:r>
      <w:r w:rsidR="00900C16" w:rsidRPr="00D734B7">
        <w:rPr>
          <w:color w:val="000000" w:themeColor="text1"/>
        </w:rPr>
        <w:t xml:space="preserve"> </w:t>
      </w:r>
      <w:r w:rsidRPr="00D734B7">
        <w:rPr>
          <w:color w:val="000000" w:themeColor="text1"/>
        </w:rPr>
        <w:t>Locomotion</w:t>
      </w:r>
      <w:bookmarkEnd w:id="42"/>
    </w:p>
    <w:p w14:paraId="33349A1D" w14:textId="77777777" w:rsidR="00E1768B" w:rsidRPr="00D734B7" w:rsidRDefault="00E1768B" w:rsidP="00945CAA">
      <w:pPr>
        <w:rPr>
          <w:color w:val="000000" w:themeColor="text1"/>
        </w:rPr>
      </w:pPr>
      <w:r w:rsidRPr="00D734B7">
        <w:rPr>
          <w:color w:val="000000" w:themeColor="text1"/>
        </w:rPr>
        <w:t>The next category is locomotion and walking. This is related to the ADL of walking and locomotion and focuses on the use of assistive devices. The assessor records the primary mode of locomotion and any types of appliances, aids, or assistive devices the person used over the last three days indoors.</w:t>
      </w:r>
    </w:p>
    <w:p w14:paraId="6997F8A7" w14:textId="77777777" w:rsidR="00E1768B" w:rsidRPr="00D734B7" w:rsidRDefault="00E1768B" w:rsidP="00945CAA">
      <w:pPr>
        <w:rPr>
          <w:color w:val="000000" w:themeColor="text1"/>
        </w:rPr>
      </w:pPr>
      <w:r w:rsidRPr="00D734B7">
        <w:rPr>
          <w:color w:val="000000" w:themeColor="text1"/>
        </w:rPr>
        <w:t>The definitions are:</w:t>
      </w:r>
    </w:p>
    <w:p w14:paraId="062B1CED" w14:textId="77777777" w:rsidR="00E1768B" w:rsidRPr="00D734B7" w:rsidRDefault="00E1768B" w:rsidP="00514263">
      <w:pPr>
        <w:pStyle w:val="ListParagraph"/>
        <w:numPr>
          <w:ilvl w:val="0"/>
          <w:numId w:val="7"/>
        </w:numPr>
        <w:rPr>
          <w:color w:val="000000" w:themeColor="text1"/>
        </w:rPr>
      </w:pPr>
      <w:r w:rsidRPr="00D734B7">
        <w:rPr>
          <w:color w:val="000000" w:themeColor="text1"/>
        </w:rPr>
        <w:t>Cane. A slender stick held in the hand and used for support when walking.</w:t>
      </w:r>
    </w:p>
    <w:p w14:paraId="3F01660C" w14:textId="2D84158A" w:rsidR="00E1768B" w:rsidRPr="00D734B7" w:rsidRDefault="00E1768B" w:rsidP="00514263">
      <w:pPr>
        <w:pStyle w:val="ListParagraph"/>
        <w:numPr>
          <w:ilvl w:val="0"/>
          <w:numId w:val="7"/>
        </w:numPr>
        <w:rPr>
          <w:color w:val="000000" w:themeColor="text1"/>
        </w:rPr>
      </w:pPr>
      <w:r w:rsidRPr="00D734B7">
        <w:rPr>
          <w:color w:val="000000" w:themeColor="text1"/>
        </w:rPr>
        <w:t xml:space="preserve">Crutch. A device for aiding a person with walking. </w:t>
      </w:r>
      <w:r w:rsidR="00CD132D" w:rsidRPr="00D734B7">
        <w:rPr>
          <w:color w:val="000000" w:themeColor="text1"/>
        </w:rPr>
        <w:t>Usually,</w:t>
      </w:r>
      <w:r w:rsidRPr="00D734B7">
        <w:rPr>
          <w:color w:val="000000" w:themeColor="text1"/>
        </w:rPr>
        <w:t xml:space="preserve"> it is a long </w:t>
      </w:r>
      <w:proofErr w:type="gramStart"/>
      <w:r w:rsidRPr="00D734B7">
        <w:rPr>
          <w:color w:val="000000" w:themeColor="text1"/>
        </w:rPr>
        <w:t>staff</w:t>
      </w:r>
      <w:proofErr w:type="gramEnd"/>
      <w:r w:rsidRPr="00D734B7">
        <w:rPr>
          <w:color w:val="000000" w:themeColor="text1"/>
        </w:rPr>
        <w:t xml:space="preserve"> with a padded </w:t>
      </w:r>
      <w:r w:rsidR="0014294F" w:rsidRPr="00D734B7">
        <w:rPr>
          <w:color w:val="000000" w:themeColor="text1"/>
        </w:rPr>
        <w:t>crescent-</w:t>
      </w:r>
      <w:r w:rsidRPr="00D734B7">
        <w:rPr>
          <w:color w:val="000000" w:themeColor="text1"/>
        </w:rPr>
        <w:t>shaped portion at the top that is placed in the armpit.</w:t>
      </w:r>
    </w:p>
    <w:p w14:paraId="33B4ABCF" w14:textId="77777777" w:rsidR="00E1768B" w:rsidRPr="00D734B7" w:rsidRDefault="00E1768B" w:rsidP="00514263">
      <w:pPr>
        <w:pStyle w:val="ListParagraph"/>
        <w:numPr>
          <w:ilvl w:val="0"/>
          <w:numId w:val="7"/>
        </w:numPr>
        <w:rPr>
          <w:color w:val="000000" w:themeColor="text1"/>
        </w:rPr>
      </w:pPr>
      <w:r w:rsidRPr="00D734B7">
        <w:rPr>
          <w:color w:val="000000" w:themeColor="text1"/>
        </w:rPr>
        <w:t>Scooter. Motorized vehicle operated by a person for use in getting from one location to another.</w:t>
      </w:r>
    </w:p>
    <w:p w14:paraId="352FE8AF" w14:textId="77777777" w:rsidR="00E1768B" w:rsidRPr="00D734B7" w:rsidRDefault="00E1768B" w:rsidP="00514263">
      <w:pPr>
        <w:pStyle w:val="ListParagraph"/>
        <w:numPr>
          <w:ilvl w:val="0"/>
          <w:numId w:val="7"/>
        </w:numPr>
        <w:rPr>
          <w:color w:val="000000" w:themeColor="text1"/>
        </w:rPr>
      </w:pPr>
      <w:r w:rsidRPr="00D734B7">
        <w:rPr>
          <w:color w:val="000000" w:themeColor="text1"/>
        </w:rPr>
        <w:t>Walker. A mobile device used to assist a person that usually consists of a stable platform of metal tubing that the person grasps while taking a step. The person moves the walker forward for additional steps.</w:t>
      </w:r>
    </w:p>
    <w:p w14:paraId="7E2281E2" w14:textId="77777777" w:rsidR="00E1768B" w:rsidRPr="00D734B7" w:rsidRDefault="00E1768B" w:rsidP="00945CAA">
      <w:pPr>
        <w:rPr>
          <w:color w:val="000000" w:themeColor="text1"/>
        </w:rPr>
      </w:pPr>
      <w:r w:rsidRPr="00D734B7">
        <w:rPr>
          <w:color w:val="000000" w:themeColor="text1"/>
        </w:rPr>
        <w:t>The coding is as follows:</w:t>
      </w:r>
    </w:p>
    <w:p w14:paraId="0CDDB803" w14:textId="66821FFE"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Walking. No assistive device.</w:t>
      </w:r>
    </w:p>
    <w:p w14:paraId="30E8F6C6" w14:textId="3BCF06E3"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Walking. Uses assistive device.</w:t>
      </w:r>
    </w:p>
    <w:p w14:paraId="744FDFCB" w14:textId="33F66193"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Wheelchair or scooter.</w:t>
      </w:r>
    </w:p>
    <w:p w14:paraId="37497518" w14:textId="3282415D" w:rsidR="00E1768B" w:rsidRPr="00D734B7" w:rsidRDefault="00E1768B" w:rsidP="00945CAA">
      <w:pPr>
        <w:rPr>
          <w:color w:val="000000" w:themeColor="text1"/>
        </w:rPr>
      </w:pPr>
      <w:r w:rsidRPr="00D734B7">
        <w:rPr>
          <w:color w:val="000000" w:themeColor="text1"/>
        </w:rPr>
        <w:t>3.</w:t>
      </w:r>
      <w:r w:rsidR="00900C16" w:rsidRPr="00D734B7">
        <w:rPr>
          <w:color w:val="000000" w:themeColor="text1"/>
        </w:rPr>
        <w:t xml:space="preserve"> </w:t>
      </w:r>
      <w:r w:rsidRPr="00D734B7">
        <w:rPr>
          <w:color w:val="000000" w:themeColor="text1"/>
        </w:rPr>
        <w:t>Bed bound.</w:t>
      </w:r>
    </w:p>
    <w:p w14:paraId="4E43DB92"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Mrs. Smith’s use of furniture and the walls as assistive devices can be coded as a “1.” Mr. Jones would be coded as a “2” because he uses a wheelchair.</w:t>
      </w:r>
    </w:p>
    <w:p w14:paraId="119CF48C" w14:textId="1D48958D" w:rsidR="00A615A0" w:rsidRPr="00D734B7" w:rsidRDefault="00E1768B" w:rsidP="00186DD5">
      <w:pPr>
        <w:pStyle w:val="Heading3"/>
        <w:rPr>
          <w:color w:val="000000" w:themeColor="text1"/>
        </w:rPr>
      </w:pPr>
      <w:bookmarkStart w:id="43" w:name="_Toc215931883"/>
      <w:r w:rsidRPr="00D734B7">
        <w:rPr>
          <w:color w:val="000000" w:themeColor="text1"/>
        </w:rPr>
        <w:t>FED – Section D –</w:t>
      </w:r>
      <w:r w:rsidR="00900C16" w:rsidRPr="00D734B7">
        <w:rPr>
          <w:color w:val="000000" w:themeColor="text1"/>
        </w:rPr>
        <w:t xml:space="preserve"> </w:t>
      </w:r>
      <w:r w:rsidRPr="00D734B7">
        <w:rPr>
          <w:color w:val="000000" w:themeColor="text1"/>
        </w:rPr>
        <w:t>Functional Status – Medications</w:t>
      </w:r>
      <w:bookmarkEnd w:id="43"/>
    </w:p>
    <w:p w14:paraId="05AE843B" w14:textId="43A52C6E" w:rsidR="00E1768B" w:rsidRPr="00D734B7" w:rsidRDefault="00E1768B" w:rsidP="00945CAA">
      <w:pPr>
        <w:rPr>
          <w:color w:val="000000" w:themeColor="text1"/>
        </w:rPr>
      </w:pPr>
      <w:r w:rsidRPr="00D734B7">
        <w:rPr>
          <w:color w:val="000000" w:themeColor="text1"/>
        </w:rPr>
        <w:t xml:space="preserve">Managing medication is included in the FED under Functional Status. It is in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 xml:space="preserve"> under Instrumental Activities of Daily </w:t>
      </w:r>
      <w:r w:rsidR="0014294F" w:rsidRPr="00D734B7">
        <w:rPr>
          <w:color w:val="000000" w:themeColor="text1"/>
        </w:rPr>
        <w:t>Living</w:t>
      </w:r>
      <w:r w:rsidRPr="00D734B7">
        <w:rPr>
          <w:color w:val="000000" w:themeColor="text1"/>
        </w:rPr>
        <w:t xml:space="preserve">, IADLs. Managing medications includes several activities including remembering to take medicines, opening bottles, taking the correct dosages, giving injections, or applying ointments. Although the full comprehensive needs assessment includes coding for both performance and capacity, the FED only includes performance. Measure what the person </w:t>
      </w:r>
      <w:proofErr w:type="gramStart"/>
      <w:r w:rsidRPr="00D734B7">
        <w:rPr>
          <w:color w:val="000000" w:themeColor="text1"/>
        </w:rPr>
        <w:t>actually did</w:t>
      </w:r>
      <w:proofErr w:type="gramEnd"/>
      <w:r w:rsidRPr="00D734B7">
        <w:rPr>
          <w:color w:val="000000" w:themeColor="text1"/>
        </w:rPr>
        <w:t xml:space="preserve"> in the past three days related to medication management.</w:t>
      </w:r>
    </w:p>
    <w:p w14:paraId="6B801EC4" w14:textId="77777777" w:rsidR="00E1768B" w:rsidRPr="00D734B7" w:rsidRDefault="00E1768B" w:rsidP="00945CAA">
      <w:pPr>
        <w:rPr>
          <w:color w:val="000000" w:themeColor="text1"/>
        </w:rPr>
      </w:pPr>
      <w:r w:rsidRPr="00D734B7">
        <w:rPr>
          <w:color w:val="000000" w:themeColor="text1"/>
        </w:rPr>
        <w:t>The coding is as follows:</w:t>
      </w:r>
    </w:p>
    <w:p w14:paraId="2D2936DF" w14:textId="408C3D25"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Independent. No help, setup</w:t>
      </w:r>
      <w:r w:rsidR="0014294F" w:rsidRPr="00D734B7">
        <w:rPr>
          <w:color w:val="000000" w:themeColor="text1"/>
        </w:rPr>
        <w:t>,</w:t>
      </w:r>
      <w:r w:rsidRPr="00D734B7">
        <w:rPr>
          <w:color w:val="000000" w:themeColor="text1"/>
        </w:rPr>
        <w:t xml:space="preserve"> or supervision in any episode.</w:t>
      </w:r>
    </w:p>
    <w:p w14:paraId="212AD19F" w14:textId="03580007"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Setup help only.</w:t>
      </w:r>
    </w:p>
    <w:p w14:paraId="02B8749E" w14:textId="1242815F"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Supervision. The person required oversight or cueing to complete the task.</w:t>
      </w:r>
    </w:p>
    <w:p w14:paraId="795E792F" w14:textId="24793A19" w:rsidR="00E1768B" w:rsidRPr="00D734B7" w:rsidRDefault="00E1768B" w:rsidP="00945CAA">
      <w:pPr>
        <w:rPr>
          <w:color w:val="000000" w:themeColor="text1"/>
        </w:rPr>
      </w:pPr>
      <w:r w:rsidRPr="00D734B7">
        <w:rPr>
          <w:color w:val="000000" w:themeColor="text1"/>
        </w:rPr>
        <w:lastRenderedPageBreak/>
        <w:t>3.</w:t>
      </w:r>
      <w:r w:rsidR="00900C16" w:rsidRPr="00D734B7">
        <w:rPr>
          <w:color w:val="000000" w:themeColor="text1"/>
        </w:rPr>
        <w:t xml:space="preserve"> </w:t>
      </w:r>
      <w:r w:rsidRPr="00D734B7">
        <w:rPr>
          <w:color w:val="000000" w:themeColor="text1"/>
        </w:rPr>
        <w:t>Limited assistance. Help required on some occasions.</w:t>
      </w:r>
    </w:p>
    <w:p w14:paraId="385BEB3A" w14:textId="4CE252C6" w:rsidR="00E1768B" w:rsidRPr="00D734B7" w:rsidRDefault="00E1768B" w:rsidP="00945CAA">
      <w:pPr>
        <w:rPr>
          <w:color w:val="000000" w:themeColor="text1"/>
        </w:rPr>
      </w:pPr>
      <w:r w:rsidRPr="00D734B7">
        <w:rPr>
          <w:color w:val="000000" w:themeColor="text1"/>
        </w:rPr>
        <w:t>4.</w:t>
      </w:r>
      <w:r w:rsidR="00900C16" w:rsidRPr="00D734B7">
        <w:rPr>
          <w:color w:val="000000" w:themeColor="text1"/>
        </w:rPr>
        <w:t xml:space="preserve"> </w:t>
      </w:r>
      <w:r w:rsidRPr="00D734B7">
        <w:rPr>
          <w:color w:val="000000" w:themeColor="text1"/>
        </w:rPr>
        <w:t>Extensive assistance. Help is required throughout the task, but the person performs 50% or more of the task on their own.</w:t>
      </w:r>
    </w:p>
    <w:p w14:paraId="395BD0E2" w14:textId="69E21DE5" w:rsidR="00E1768B" w:rsidRPr="00D734B7" w:rsidRDefault="00E1768B" w:rsidP="00945CAA">
      <w:pPr>
        <w:rPr>
          <w:color w:val="000000" w:themeColor="text1"/>
        </w:rPr>
      </w:pPr>
      <w:r w:rsidRPr="00D734B7">
        <w:rPr>
          <w:color w:val="000000" w:themeColor="text1"/>
        </w:rPr>
        <w:t>5.</w:t>
      </w:r>
      <w:r w:rsidR="00900C16" w:rsidRPr="00D734B7">
        <w:rPr>
          <w:color w:val="000000" w:themeColor="text1"/>
        </w:rPr>
        <w:t xml:space="preserve"> </w:t>
      </w:r>
      <w:r w:rsidRPr="00D734B7">
        <w:rPr>
          <w:color w:val="000000" w:themeColor="text1"/>
        </w:rPr>
        <w:t>Maximal assistance. Help is required throughout the task, and the person performs less than 50% of the task on their own.</w:t>
      </w:r>
    </w:p>
    <w:p w14:paraId="12694C84" w14:textId="325613A1" w:rsidR="00E1768B" w:rsidRPr="00D734B7" w:rsidRDefault="00E1768B" w:rsidP="00945CAA">
      <w:pPr>
        <w:rPr>
          <w:color w:val="000000" w:themeColor="text1"/>
        </w:rPr>
      </w:pPr>
      <w:r w:rsidRPr="00D734B7">
        <w:rPr>
          <w:color w:val="000000" w:themeColor="text1"/>
        </w:rPr>
        <w:t>6.</w:t>
      </w:r>
      <w:r w:rsidR="00900C16" w:rsidRPr="00D734B7">
        <w:rPr>
          <w:color w:val="000000" w:themeColor="text1"/>
        </w:rPr>
        <w:t xml:space="preserve"> </w:t>
      </w:r>
      <w:r w:rsidRPr="00D734B7">
        <w:rPr>
          <w:color w:val="000000" w:themeColor="text1"/>
        </w:rPr>
        <w:t>Total dependence. Others must perform the activity during the entire period.</w:t>
      </w:r>
    </w:p>
    <w:p w14:paraId="6CA91255" w14:textId="11554070" w:rsidR="00E1768B" w:rsidRPr="00D734B7" w:rsidRDefault="00E1768B" w:rsidP="00945CAA">
      <w:pPr>
        <w:rPr>
          <w:color w:val="000000" w:themeColor="text1"/>
        </w:rPr>
      </w:pPr>
      <w:r w:rsidRPr="00D734B7">
        <w:rPr>
          <w:color w:val="000000" w:themeColor="text1"/>
        </w:rPr>
        <w:t>8.</w:t>
      </w:r>
      <w:r w:rsidR="00900C16" w:rsidRPr="00D734B7">
        <w:rPr>
          <w:color w:val="000000" w:themeColor="text1"/>
        </w:rPr>
        <w:t xml:space="preserve"> </w:t>
      </w:r>
      <w:r w:rsidRPr="00D734B7">
        <w:rPr>
          <w:color w:val="000000" w:themeColor="text1"/>
        </w:rPr>
        <w:t>Activity did not occur.</w:t>
      </w:r>
    </w:p>
    <w:p w14:paraId="534207D3" w14:textId="77777777" w:rsidR="00E1768B" w:rsidRPr="00D734B7" w:rsidRDefault="00E1768B" w:rsidP="00945CAA">
      <w:pPr>
        <w:rPr>
          <w:color w:val="000000" w:themeColor="text1"/>
        </w:rPr>
      </w:pPr>
      <w:r w:rsidRPr="00D734B7">
        <w:rPr>
          <w:color w:val="000000" w:themeColor="text1"/>
        </w:rPr>
        <w:t>Let’s review an example.</w:t>
      </w:r>
    </w:p>
    <w:p w14:paraId="273312B4" w14:textId="7722E7C8" w:rsidR="00E1768B" w:rsidRPr="00D734B7" w:rsidRDefault="00E1768B" w:rsidP="00945CAA">
      <w:pPr>
        <w:rPr>
          <w:color w:val="000000" w:themeColor="text1"/>
        </w:rPr>
      </w:pPr>
      <w:r w:rsidRPr="00D734B7">
        <w:rPr>
          <w:color w:val="000000" w:themeColor="text1"/>
        </w:rPr>
        <w:t xml:space="preserve">Mr. Johnson has severe arthritis in his hands. Even with the non-child-proofed bottles, he cannot independently open pill bottles and dispense the right number of pills. The caregiver sets up his pills at each meal so that Mr. Johnson can put them in his mouth and swallow them. In this case, Mr. Johnson’s medication management would be coded as a </w:t>
      </w:r>
      <w:r w:rsidR="00DA16A8" w:rsidRPr="00D734B7">
        <w:rPr>
          <w:color w:val="000000" w:themeColor="text1"/>
        </w:rPr>
        <w:t>“</w:t>
      </w:r>
      <w:r w:rsidR="0014294F" w:rsidRPr="00D734B7">
        <w:rPr>
          <w:color w:val="000000" w:themeColor="text1"/>
        </w:rPr>
        <w:t>1</w:t>
      </w:r>
      <w:r w:rsidR="00DA16A8" w:rsidRPr="00D734B7">
        <w:rPr>
          <w:color w:val="000000" w:themeColor="text1"/>
        </w:rPr>
        <w:t>”</w:t>
      </w:r>
      <w:r w:rsidR="0014294F" w:rsidRPr="00D734B7">
        <w:rPr>
          <w:color w:val="000000" w:themeColor="text1"/>
        </w:rPr>
        <w:t xml:space="preserve"> </w:t>
      </w:r>
      <w:r w:rsidRPr="00D734B7">
        <w:rPr>
          <w:color w:val="000000" w:themeColor="text1"/>
        </w:rPr>
        <w:t>for setup help only.</w:t>
      </w:r>
    </w:p>
    <w:p w14:paraId="494E489C" w14:textId="77777777" w:rsidR="00E1768B" w:rsidRPr="00D734B7" w:rsidRDefault="00E1768B" w:rsidP="00945CAA">
      <w:pPr>
        <w:rPr>
          <w:color w:val="000000" w:themeColor="text1"/>
        </w:rPr>
      </w:pPr>
      <w:r w:rsidRPr="00D734B7">
        <w:rPr>
          <w:color w:val="000000" w:themeColor="text1"/>
        </w:rPr>
        <w:t>We’ll review more examples of coding medication management, performance, and capacity later in this module.</w:t>
      </w:r>
    </w:p>
    <w:p w14:paraId="67ACA278" w14:textId="23D681FA" w:rsidR="00A615A0" w:rsidRPr="00D734B7" w:rsidRDefault="00E1768B">
      <w:pPr>
        <w:pStyle w:val="Heading2"/>
        <w:rPr>
          <w:color w:val="000000" w:themeColor="text1"/>
        </w:rPr>
      </w:pPr>
      <w:bookmarkStart w:id="44" w:name="_Toc215931884"/>
      <w:r w:rsidRPr="00D734B7">
        <w:rPr>
          <w:color w:val="000000" w:themeColor="text1"/>
        </w:rPr>
        <w:t>FED – Section E</w:t>
      </w:r>
      <w:bookmarkEnd w:id="44"/>
    </w:p>
    <w:p w14:paraId="1767E7C4" w14:textId="1F66877D"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Now, let’s review the FED section on continence. Two types </w:t>
      </w:r>
      <w:r w:rsidR="0014294F" w:rsidRPr="00D734B7">
        <w:rPr>
          <w:color w:val="000000" w:themeColor="text1"/>
        </w:rPr>
        <w:t xml:space="preserve">of </w:t>
      </w:r>
      <w:r w:rsidRPr="00D734B7">
        <w:rPr>
          <w:color w:val="000000" w:themeColor="text1"/>
        </w:rPr>
        <w:t>continence are assessed in Section E: bladder continence and bowel continence.</w:t>
      </w:r>
    </w:p>
    <w:p w14:paraId="291238AD" w14:textId="23EF0727" w:rsidR="00A615A0" w:rsidRPr="00D734B7" w:rsidRDefault="00E1768B" w:rsidP="00186DD5">
      <w:pPr>
        <w:pStyle w:val="Heading3"/>
        <w:rPr>
          <w:color w:val="000000" w:themeColor="text1"/>
        </w:rPr>
      </w:pPr>
      <w:bookmarkStart w:id="45" w:name="_Toc215931885"/>
      <w:r w:rsidRPr="00D734B7">
        <w:rPr>
          <w:color w:val="000000" w:themeColor="text1"/>
        </w:rPr>
        <w:t>FED – Section E –</w:t>
      </w:r>
      <w:r w:rsidR="00900C16" w:rsidRPr="00D734B7">
        <w:rPr>
          <w:color w:val="000000" w:themeColor="text1"/>
        </w:rPr>
        <w:t xml:space="preserve"> </w:t>
      </w:r>
      <w:r w:rsidRPr="00D734B7">
        <w:rPr>
          <w:color w:val="000000" w:themeColor="text1"/>
        </w:rPr>
        <w:t>Continence</w:t>
      </w:r>
      <w:bookmarkEnd w:id="45"/>
    </w:p>
    <w:p w14:paraId="0D7835D0" w14:textId="77777777" w:rsidR="00E1768B" w:rsidRPr="00D734B7" w:rsidRDefault="00E1768B" w:rsidP="00945CAA">
      <w:pPr>
        <w:rPr>
          <w:color w:val="000000" w:themeColor="text1"/>
        </w:rPr>
      </w:pPr>
      <w:r w:rsidRPr="00D734B7">
        <w:rPr>
          <w:color w:val="000000" w:themeColor="text1"/>
        </w:rPr>
        <w:t>In both situations, remember that these discussions must be held in private as it can be a sensitive subject. Individuals with poor control may hide it out of embarrassment or fear of institutionalization. Others may not report because they believe that incontinence is just a natural part of aging and nothing can be done. Reassure the person as you discuss these sensitive issues.</w:t>
      </w:r>
    </w:p>
    <w:p w14:paraId="5C052102" w14:textId="688CE512" w:rsidR="00E1768B" w:rsidRPr="00D734B7" w:rsidRDefault="00E1768B" w:rsidP="00945CAA">
      <w:pPr>
        <w:rPr>
          <w:color w:val="000000" w:themeColor="text1"/>
        </w:rPr>
      </w:pPr>
      <w:r w:rsidRPr="00D734B7">
        <w:rPr>
          <w:color w:val="000000" w:themeColor="text1"/>
        </w:rPr>
        <w:t>We’ll start with urinary continence coding.</w:t>
      </w:r>
    </w:p>
    <w:p w14:paraId="0D8C2559" w14:textId="77777777" w:rsidR="00E1768B" w:rsidRPr="00D734B7" w:rsidRDefault="00E1768B" w:rsidP="00945CAA">
      <w:pPr>
        <w:rPr>
          <w:color w:val="000000" w:themeColor="text1"/>
        </w:rPr>
      </w:pPr>
      <w:r w:rsidRPr="00D734B7">
        <w:rPr>
          <w:color w:val="000000" w:themeColor="text1"/>
        </w:rPr>
        <w:t>There is a six-level coding scale. Choose one response to code the person's level of urinary continence over the last three days.</w:t>
      </w:r>
    </w:p>
    <w:p w14:paraId="54817D5B" w14:textId="63ADD79A"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Continent. Complete control, including control achieved by cueing or supervision that involves voiding habit training or reminders. The person does not use any type of catheter or other urinary collection device. A person is continent even if they require reminders to use the toilet throughout the day.</w:t>
      </w:r>
    </w:p>
    <w:p w14:paraId="06B2E47A" w14:textId="55676199"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Complete control with catheter or ostomy. Control with the use of any type of catheter or urinary collection device.</w:t>
      </w:r>
    </w:p>
    <w:p w14:paraId="17F3DCB0" w14:textId="07BBE5E8" w:rsidR="00E1768B" w:rsidRPr="00D734B7" w:rsidRDefault="00E1768B" w:rsidP="00945CAA">
      <w:pPr>
        <w:rPr>
          <w:color w:val="000000" w:themeColor="text1"/>
        </w:rPr>
      </w:pPr>
      <w:r w:rsidRPr="00D734B7">
        <w:rPr>
          <w:color w:val="000000" w:themeColor="text1"/>
        </w:rPr>
        <w:lastRenderedPageBreak/>
        <w:t>2.</w:t>
      </w:r>
      <w:r w:rsidR="00900C16" w:rsidRPr="00D734B7">
        <w:rPr>
          <w:color w:val="000000" w:themeColor="text1"/>
        </w:rPr>
        <w:t xml:space="preserve"> </w:t>
      </w:r>
      <w:r w:rsidRPr="00D734B7">
        <w:rPr>
          <w:color w:val="000000" w:themeColor="text1"/>
        </w:rPr>
        <w:t xml:space="preserve">Infrequently incontinent. Not incontinent over the last three </w:t>
      </w:r>
      <w:proofErr w:type="gramStart"/>
      <w:r w:rsidRPr="00D734B7">
        <w:rPr>
          <w:color w:val="000000" w:themeColor="text1"/>
        </w:rPr>
        <w:t>days, but</w:t>
      </w:r>
      <w:proofErr w:type="gramEnd"/>
      <w:r w:rsidRPr="00D734B7">
        <w:rPr>
          <w:color w:val="000000" w:themeColor="text1"/>
        </w:rPr>
        <w:t xml:space="preserve"> does have incontinent episodes or a recent history of incontinence. This category is used if the person is just having a good couple of days within the assessment window.</w:t>
      </w:r>
    </w:p>
    <w:p w14:paraId="0166008B" w14:textId="2FB7C8F9" w:rsidR="00E1768B" w:rsidRPr="00D734B7" w:rsidRDefault="00E1768B" w:rsidP="00945CAA">
      <w:pPr>
        <w:rPr>
          <w:color w:val="000000" w:themeColor="text1"/>
        </w:rPr>
      </w:pPr>
      <w:r w:rsidRPr="00D734B7">
        <w:rPr>
          <w:color w:val="000000" w:themeColor="text1"/>
        </w:rPr>
        <w:t>3.</w:t>
      </w:r>
      <w:r w:rsidR="00900C16" w:rsidRPr="00D734B7">
        <w:rPr>
          <w:color w:val="000000" w:themeColor="text1"/>
        </w:rPr>
        <w:t xml:space="preserve"> </w:t>
      </w:r>
      <w:r w:rsidRPr="00D734B7">
        <w:rPr>
          <w:color w:val="000000" w:themeColor="text1"/>
        </w:rPr>
        <w:t>Occasionally incontinent. Fewer than daily episodes of bladder incontinence. Incontinent on one to two of the last three days.</w:t>
      </w:r>
    </w:p>
    <w:p w14:paraId="412F753D" w14:textId="4B2E4E8B" w:rsidR="00E1768B" w:rsidRPr="00D734B7" w:rsidRDefault="00E1768B" w:rsidP="00945CAA">
      <w:pPr>
        <w:rPr>
          <w:color w:val="000000" w:themeColor="text1"/>
        </w:rPr>
      </w:pPr>
      <w:r w:rsidRPr="00D734B7">
        <w:rPr>
          <w:color w:val="000000" w:themeColor="text1"/>
        </w:rPr>
        <w:t>4.</w:t>
      </w:r>
      <w:r w:rsidR="00900C16" w:rsidRPr="00D734B7">
        <w:rPr>
          <w:color w:val="000000" w:themeColor="text1"/>
        </w:rPr>
        <w:t xml:space="preserve"> </w:t>
      </w:r>
      <w:r w:rsidRPr="00D734B7">
        <w:rPr>
          <w:color w:val="000000" w:themeColor="text1"/>
        </w:rPr>
        <w:t>Frequently incontinent. Incontinent daily, but some control is present. For example, someone remains dry throughout the day but wets the bed at night.</w:t>
      </w:r>
    </w:p>
    <w:p w14:paraId="54B18D76" w14:textId="5D2CBF28" w:rsidR="00E1768B" w:rsidRPr="00D734B7" w:rsidRDefault="00E1768B" w:rsidP="00945CAA">
      <w:pPr>
        <w:rPr>
          <w:color w:val="000000" w:themeColor="text1"/>
        </w:rPr>
      </w:pPr>
      <w:r w:rsidRPr="00D734B7">
        <w:rPr>
          <w:color w:val="000000" w:themeColor="text1"/>
        </w:rPr>
        <w:t>5.</w:t>
      </w:r>
      <w:r w:rsidR="00900C16" w:rsidRPr="00D734B7">
        <w:rPr>
          <w:color w:val="000000" w:themeColor="text1"/>
        </w:rPr>
        <w:t xml:space="preserve"> </w:t>
      </w:r>
      <w:r w:rsidRPr="00D734B7">
        <w:rPr>
          <w:color w:val="000000" w:themeColor="text1"/>
        </w:rPr>
        <w:t>Incontinent. There is no control of the bladder. There are multiple daily episodes.</w:t>
      </w:r>
    </w:p>
    <w:p w14:paraId="3A8CC72D" w14:textId="71D49E67" w:rsidR="00E1768B" w:rsidRPr="00D734B7" w:rsidRDefault="00E1768B" w:rsidP="00945CAA">
      <w:pPr>
        <w:rPr>
          <w:color w:val="000000" w:themeColor="text1"/>
        </w:rPr>
      </w:pPr>
      <w:r w:rsidRPr="00D734B7">
        <w:rPr>
          <w:color w:val="000000" w:themeColor="text1"/>
        </w:rPr>
        <w:t>8.</w:t>
      </w:r>
      <w:r w:rsidR="00900C16" w:rsidRPr="00D734B7">
        <w:rPr>
          <w:color w:val="000000" w:themeColor="text1"/>
        </w:rPr>
        <w:t xml:space="preserve"> </w:t>
      </w:r>
      <w:r w:rsidRPr="00D734B7">
        <w:rPr>
          <w:color w:val="000000" w:themeColor="text1"/>
        </w:rPr>
        <w:t>Did not occur. There was no urine output from the bladder in the last three days.</w:t>
      </w:r>
    </w:p>
    <w:p w14:paraId="3A7A7702" w14:textId="2EBA3862" w:rsidR="00E1768B" w:rsidRPr="00D734B7" w:rsidRDefault="00E1768B" w:rsidP="00945CAA">
      <w:pPr>
        <w:rPr>
          <w:color w:val="000000" w:themeColor="text1"/>
        </w:rPr>
      </w:pPr>
      <w:r w:rsidRPr="00D734B7">
        <w:rPr>
          <w:color w:val="000000" w:themeColor="text1"/>
        </w:rPr>
        <w:t>Please note that the pattern is the frequency which with the person is wet during the three</w:t>
      </w:r>
      <w:r w:rsidR="0014294F" w:rsidRPr="00D734B7">
        <w:rPr>
          <w:color w:val="000000" w:themeColor="text1"/>
        </w:rPr>
        <w:t>-</w:t>
      </w:r>
      <w:r w:rsidRPr="00D734B7">
        <w:rPr>
          <w:color w:val="000000" w:themeColor="text1"/>
        </w:rPr>
        <w:t xml:space="preserve">day assessment. Please do not record the level of control that the person might have had under optimal circumstances. For example, if a caregiver had been available to assist the person with toileting. If you're unsure, use code “4” or code “5” to assess bladder control. Please refer to the examples and case studies in the </w:t>
      </w:r>
      <w:proofErr w:type="spellStart"/>
      <w:r w:rsidR="00F4693F" w:rsidRPr="00D734B7">
        <w:rPr>
          <w:color w:val="000000" w:themeColor="text1"/>
        </w:rPr>
        <w:t>interRAI</w:t>
      </w:r>
      <w:proofErr w:type="spellEnd"/>
      <w:r w:rsidR="00F4693F" w:rsidRPr="00D734B7">
        <w:rPr>
          <w:color w:val="000000" w:themeColor="text1"/>
        </w:rPr>
        <w:t xml:space="preserve"> Manual</w:t>
      </w:r>
      <w:r w:rsidRPr="00D734B7">
        <w:rPr>
          <w:color w:val="000000" w:themeColor="text1"/>
        </w:rPr>
        <w:t>.</w:t>
      </w:r>
    </w:p>
    <w:p w14:paraId="7C2BB067" w14:textId="02CB6630" w:rsidR="00A615A0" w:rsidRPr="00D734B7" w:rsidRDefault="00E1768B" w:rsidP="00186DD5">
      <w:pPr>
        <w:pStyle w:val="Heading3"/>
        <w:rPr>
          <w:color w:val="000000" w:themeColor="text1"/>
        </w:rPr>
      </w:pPr>
      <w:bookmarkStart w:id="46" w:name="_Toc215931886"/>
      <w:r w:rsidRPr="00D734B7">
        <w:rPr>
          <w:color w:val="000000" w:themeColor="text1"/>
        </w:rPr>
        <w:t>FED – Section E.1 – Urinary Examples</w:t>
      </w:r>
      <w:bookmarkEnd w:id="46"/>
    </w:p>
    <w:p w14:paraId="16FAC5E5" w14:textId="77777777" w:rsidR="00E1768B" w:rsidRPr="00D734B7" w:rsidRDefault="00E1768B" w:rsidP="00945CAA">
      <w:pPr>
        <w:rPr>
          <w:color w:val="000000" w:themeColor="text1"/>
        </w:rPr>
      </w:pPr>
      <w:r w:rsidRPr="00D734B7">
        <w:rPr>
          <w:color w:val="000000" w:themeColor="text1"/>
        </w:rPr>
        <w:t>Let’s review some examples.</w:t>
      </w:r>
    </w:p>
    <w:p w14:paraId="216778EE" w14:textId="77777777" w:rsidR="00E1768B" w:rsidRPr="00D734B7" w:rsidRDefault="00E1768B" w:rsidP="00945CAA">
      <w:pPr>
        <w:rPr>
          <w:color w:val="000000" w:themeColor="text1"/>
        </w:rPr>
      </w:pPr>
      <w:r w:rsidRPr="00D734B7">
        <w:rPr>
          <w:color w:val="000000" w:themeColor="text1"/>
        </w:rPr>
        <w:t>Mr. Johnson discloses that he is generally continent. Sometimes he doesn't make it to the bathroom in time when he has been given his daily diuretic pill. In this situation, the code is “2” for infrequently incontinent.</w:t>
      </w:r>
    </w:p>
    <w:p w14:paraId="524B687E" w14:textId="77777777" w:rsidR="00E1768B" w:rsidRPr="00D734B7" w:rsidRDefault="00E1768B" w:rsidP="00945CAA">
      <w:pPr>
        <w:rPr>
          <w:color w:val="000000" w:themeColor="text1"/>
        </w:rPr>
      </w:pPr>
      <w:r w:rsidRPr="00D734B7">
        <w:rPr>
          <w:color w:val="000000" w:themeColor="text1"/>
        </w:rPr>
        <w:t xml:space="preserve">Mrs. Smith had an indwelling catheter in place during the entire three-day assessment period. She was never wet. The code would be “1” for control with any catheter or ostomy. </w:t>
      </w:r>
    </w:p>
    <w:p w14:paraId="0DFC5D9B" w14:textId="2F3F5356" w:rsidR="00E1768B" w:rsidRPr="00D734B7" w:rsidRDefault="00E1768B" w:rsidP="00945CAA">
      <w:pPr>
        <w:rPr>
          <w:color w:val="000000" w:themeColor="text1"/>
        </w:rPr>
      </w:pPr>
      <w:r w:rsidRPr="00D734B7">
        <w:rPr>
          <w:color w:val="000000" w:themeColor="text1"/>
        </w:rPr>
        <w:t>Mr. White has occasional episodes of urinary incontinence</w:t>
      </w:r>
      <w:r w:rsidR="0014294F" w:rsidRPr="00D734B7">
        <w:rPr>
          <w:color w:val="000000" w:themeColor="text1"/>
        </w:rPr>
        <w:t>,</w:t>
      </w:r>
      <w:r w:rsidRPr="00D734B7">
        <w:rPr>
          <w:color w:val="000000" w:themeColor="text1"/>
        </w:rPr>
        <w:t xml:space="preserve"> but these are less than daily. It typically happens later in the day when he is tired. In the last two days he was not incontinent at all. He was incontinent three days ago. In this case, code “3” for occasionally incontinent.</w:t>
      </w:r>
    </w:p>
    <w:p w14:paraId="7AE9520D" w14:textId="2E5C30C0"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Mr. Brown has end-stage Alzheimer's disease. He is frail and has stiff, painful contractions of all extremities. He spends most of his day in bed on a special water mattress. In the last three days, he was not toileted and was incontinent of urine for all episodes. The code would be “5” for incontinent.</w:t>
      </w:r>
    </w:p>
    <w:p w14:paraId="1703B055" w14:textId="1E613912" w:rsidR="00A615A0" w:rsidRPr="00D734B7" w:rsidRDefault="00E1768B" w:rsidP="00186DD5">
      <w:pPr>
        <w:pStyle w:val="Heading3"/>
        <w:rPr>
          <w:color w:val="000000" w:themeColor="text1"/>
        </w:rPr>
      </w:pPr>
      <w:bookmarkStart w:id="47" w:name="_Toc215931887"/>
      <w:r w:rsidRPr="00D734B7">
        <w:rPr>
          <w:color w:val="000000" w:themeColor="text1"/>
        </w:rPr>
        <w:t>FED – Section E –</w:t>
      </w:r>
      <w:r w:rsidR="00900C16" w:rsidRPr="00D734B7">
        <w:rPr>
          <w:color w:val="000000" w:themeColor="text1"/>
        </w:rPr>
        <w:t xml:space="preserve"> </w:t>
      </w:r>
      <w:r w:rsidRPr="00D734B7">
        <w:rPr>
          <w:color w:val="000000" w:themeColor="text1"/>
        </w:rPr>
        <w:t>Urinary Collection</w:t>
      </w:r>
      <w:bookmarkEnd w:id="47"/>
    </w:p>
    <w:p w14:paraId="6AC6E89D" w14:textId="77777777" w:rsidR="00E1768B" w:rsidRPr="00D734B7" w:rsidRDefault="00E1768B" w:rsidP="00945CAA">
      <w:pPr>
        <w:rPr>
          <w:color w:val="000000" w:themeColor="text1"/>
        </w:rPr>
      </w:pPr>
      <w:r w:rsidRPr="00D734B7">
        <w:rPr>
          <w:color w:val="000000" w:themeColor="text1"/>
        </w:rPr>
        <w:t xml:space="preserve">The next section related to continence concerns urinary collection devices, excluding pads and briefs. The assessor will identify </w:t>
      </w:r>
      <w:proofErr w:type="gramStart"/>
      <w:r w:rsidRPr="00D734B7">
        <w:rPr>
          <w:color w:val="000000" w:themeColor="text1"/>
        </w:rPr>
        <w:t>whether or not</w:t>
      </w:r>
      <w:proofErr w:type="gramEnd"/>
      <w:r w:rsidRPr="00D734B7">
        <w:rPr>
          <w:color w:val="000000" w:themeColor="text1"/>
        </w:rPr>
        <w:t xml:space="preserve"> the individual uses the following devices:</w:t>
      </w:r>
    </w:p>
    <w:p w14:paraId="6BD6B10A" w14:textId="77777777" w:rsidR="00E1768B" w:rsidRPr="00D734B7" w:rsidRDefault="00E1768B" w:rsidP="00FB3088">
      <w:pPr>
        <w:pStyle w:val="ListParagraph"/>
        <w:numPr>
          <w:ilvl w:val="0"/>
          <w:numId w:val="8"/>
        </w:numPr>
        <w:rPr>
          <w:color w:val="000000" w:themeColor="text1"/>
        </w:rPr>
      </w:pPr>
      <w:r w:rsidRPr="00D734B7">
        <w:rPr>
          <w:color w:val="000000" w:themeColor="text1"/>
        </w:rPr>
        <w:lastRenderedPageBreak/>
        <w:t>External or condom catheter.</w:t>
      </w:r>
    </w:p>
    <w:p w14:paraId="2652BCF4" w14:textId="77777777" w:rsidR="00E1768B" w:rsidRPr="00D734B7" w:rsidRDefault="00E1768B" w:rsidP="00FB3088">
      <w:pPr>
        <w:pStyle w:val="ListParagraph"/>
        <w:numPr>
          <w:ilvl w:val="0"/>
          <w:numId w:val="8"/>
        </w:numPr>
        <w:rPr>
          <w:color w:val="000000" w:themeColor="text1"/>
        </w:rPr>
      </w:pPr>
      <w:r w:rsidRPr="00D734B7">
        <w:rPr>
          <w:color w:val="000000" w:themeColor="text1"/>
        </w:rPr>
        <w:t>Indwelling catheter. This is a catheter that is maintained within the bladder for the purpose of continuous drainage of urine. This includes catheters inserted through their urethra or by suprapubic incision.</w:t>
      </w:r>
    </w:p>
    <w:p w14:paraId="4F279AE8" w14:textId="77777777" w:rsidR="00E1768B" w:rsidRPr="00D734B7" w:rsidRDefault="00E1768B" w:rsidP="00FB3088">
      <w:pPr>
        <w:pStyle w:val="ListParagraph"/>
        <w:numPr>
          <w:ilvl w:val="0"/>
          <w:numId w:val="8"/>
        </w:numPr>
        <w:rPr>
          <w:color w:val="000000" w:themeColor="text1"/>
        </w:rPr>
      </w:pPr>
      <w:r w:rsidRPr="00D734B7">
        <w:rPr>
          <w:color w:val="000000" w:themeColor="text1"/>
        </w:rPr>
        <w:t>Ostomy. An opening to the bladder made by a surgical incision and covered by a urinary collection appliance like a urostomy bag.</w:t>
      </w:r>
    </w:p>
    <w:p w14:paraId="3D6E8DF3" w14:textId="77777777" w:rsidR="00E1768B" w:rsidRPr="00D734B7" w:rsidRDefault="00E1768B" w:rsidP="00FB3088">
      <w:pPr>
        <w:pStyle w:val="ListParagraph"/>
        <w:numPr>
          <w:ilvl w:val="0"/>
          <w:numId w:val="8"/>
        </w:numPr>
        <w:rPr>
          <w:color w:val="000000" w:themeColor="text1"/>
        </w:rPr>
      </w:pPr>
      <w:r w:rsidRPr="00D734B7">
        <w:rPr>
          <w:color w:val="000000" w:themeColor="text1"/>
        </w:rPr>
        <w:t>Nephrostomy. A tube stent or catheter that's used to provide urinary drainage when a ureter is obstructed. In some cases, the catheter drains out of the person's body into a drainage bag. In other cases, the catheter drains directly into the bladder.</w:t>
      </w:r>
    </w:p>
    <w:p w14:paraId="55486AAF" w14:textId="77777777" w:rsidR="00E1768B" w:rsidRPr="00D734B7" w:rsidRDefault="00E1768B" w:rsidP="00FB3088">
      <w:pPr>
        <w:pStyle w:val="ListParagraph"/>
        <w:numPr>
          <w:ilvl w:val="0"/>
          <w:numId w:val="8"/>
        </w:numPr>
        <w:rPr>
          <w:color w:val="000000" w:themeColor="text1"/>
        </w:rPr>
      </w:pPr>
      <w:r w:rsidRPr="00D734B7">
        <w:rPr>
          <w:color w:val="000000" w:themeColor="text1"/>
        </w:rPr>
        <w:t>Ureterostomy. This is a surgical urinary diversion where a ureter is detached from the bladder and brought to the surface of the abdomen with a urinary collection device placed over it.</w:t>
      </w:r>
    </w:p>
    <w:p w14:paraId="47D62E53" w14:textId="77777777" w:rsidR="00E1768B" w:rsidRPr="00D734B7" w:rsidRDefault="00E1768B" w:rsidP="00945CAA">
      <w:pPr>
        <w:rPr>
          <w:color w:val="000000" w:themeColor="text1"/>
        </w:rPr>
      </w:pPr>
      <w:r w:rsidRPr="00D734B7">
        <w:rPr>
          <w:color w:val="000000" w:themeColor="text1"/>
        </w:rPr>
        <w:t>Ask the person or caregiver if they use any of these devices. Also check clinical documentation. Many of these items are worn underneath clothing and are hidden from view. It may be more effective to check the clinical documentation to assess.</w:t>
      </w:r>
    </w:p>
    <w:p w14:paraId="0F0A916C" w14:textId="0167BEDF" w:rsidR="00E1768B" w:rsidRPr="00D734B7" w:rsidRDefault="00E1768B" w:rsidP="00945CAA">
      <w:pPr>
        <w:rPr>
          <w:color w:val="000000" w:themeColor="text1"/>
        </w:rPr>
      </w:pPr>
      <w:r w:rsidRPr="00D734B7">
        <w:rPr>
          <w:color w:val="000000" w:themeColor="text1"/>
        </w:rPr>
        <w:t>The coding is as follows:</w:t>
      </w:r>
    </w:p>
    <w:p w14:paraId="237986DF" w14:textId="128C564D"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None.</w:t>
      </w:r>
    </w:p>
    <w:p w14:paraId="0837DA0E" w14:textId="2C758F58"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Condom catheter.</w:t>
      </w:r>
    </w:p>
    <w:p w14:paraId="61B4F1AC" w14:textId="3B33935E"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Indwelling catheter.</w:t>
      </w:r>
    </w:p>
    <w:p w14:paraId="75A8423A" w14:textId="2BC38464" w:rsidR="00E1768B" w:rsidRPr="00D734B7" w:rsidRDefault="00E1768B" w:rsidP="00945CAA">
      <w:pPr>
        <w:rPr>
          <w:color w:val="000000" w:themeColor="text1"/>
        </w:rPr>
      </w:pPr>
      <w:r w:rsidRPr="00D734B7">
        <w:rPr>
          <w:color w:val="000000" w:themeColor="text1"/>
        </w:rPr>
        <w:t>3.</w:t>
      </w:r>
      <w:r w:rsidR="00900C16" w:rsidRPr="00D734B7">
        <w:rPr>
          <w:color w:val="000000" w:themeColor="text1"/>
        </w:rPr>
        <w:t xml:space="preserve"> </w:t>
      </w:r>
      <w:r w:rsidRPr="00D734B7">
        <w:rPr>
          <w:color w:val="000000" w:themeColor="text1"/>
        </w:rPr>
        <w:t>Cystostomy, nephrostomy, ureterostomy.</w:t>
      </w:r>
    </w:p>
    <w:p w14:paraId="7F00D19C" w14:textId="5D96C656" w:rsidR="00A615A0" w:rsidRPr="00D734B7" w:rsidRDefault="00E1768B" w:rsidP="00752493">
      <w:pPr>
        <w:pStyle w:val="Heading3"/>
        <w:rPr>
          <w:color w:val="000000" w:themeColor="text1"/>
        </w:rPr>
      </w:pPr>
      <w:bookmarkStart w:id="48" w:name="_Toc215931888"/>
      <w:r w:rsidRPr="00D734B7">
        <w:rPr>
          <w:color w:val="000000" w:themeColor="text1"/>
        </w:rPr>
        <w:t>FED – Section E.3 – Bowel Continence</w:t>
      </w:r>
      <w:bookmarkEnd w:id="48"/>
    </w:p>
    <w:p w14:paraId="2A3B7F60" w14:textId="77777777" w:rsidR="00E1768B" w:rsidRPr="00D734B7" w:rsidRDefault="00E1768B" w:rsidP="00945CAA">
      <w:pPr>
        <w:rPr>
          <w:color w:val="000000" w:themeColor="text1"/>
        </w:rPr>
      </w:pPr>
      <w:r w:rsidRPr="00D734B7">
        <w:rPr>
          <w:color w:val="000000" w:themeColor="text1"/>
        </w:rPr>
        <w:t>Bowel continence is assessed separately. This refers to control of the person's bowel movements. It does not refer to the person's ability to toilet themselves. For example, a person can require extensive assistance in getting on and off the toilet and still be bowel continent. In short, if the person can control their bowels, but the person does not possess the strength or mobility to get on and off the toilet, they are continent.</w:t>
      </w:r>
    </w:p>
    <w:p w14:paraId="51417143" w14:textId="77777777" w:rsidR="00E1768B" w:rsidRPr="00D734B7" w:rsidRDefault="00E1768B" w:rsidP="00945CAA">
      <w:pPr>
        <w:rPr>
          <w:color w:val="000000" w:themeColor="text1"/>
        </w:rPr>
      </w:pPr>
      <w:r w:rsidRPr="00D734B7">
        <w:rPr>
          <w:color w:val="000000" w:themeColor="text1"/>
        </w:rPr>
        <w:t>The coding for bowel continents is as follows:</w:t>
      </w:r>
    </w:p>
    <w:p w14:paraId="56A2EF3B" w14:textId="77777777" w:rsidR="00E1768B" w:rsidRPr="00D734B7" w:rsidRDefault="00E1768B" w:rsidP="00945CAA">
      <w:pPr>
        <w:rPr>
          <w:color w:val="000000" w:themeColor="text1"/>
        </w:rPr>
      </w:pPr>
      <w:r w:rsidRPr="00D734B7">
        <w:rPr>
          <w:color w:val="000000" w:themeColor="text1"/>
        </w:rPr>
        <w:t>0. Continent. Complete control, even if they need assistance on and off the toilet. The person does not use any type of ostomy device.</w:t>
      </w:r>
    </w:p>
    <w:p w14:paraId="43C086BF" w14:textId="77777777" w:rsidR="00E1768B" w:rsidRPr="00D734B7" w:rsidRDefault="00E1768B" w:rsidP="00945CAA">
      <w:pPr>
        <w:rPr>
          <w:color w:val="000000" w:themeColor="text1"/>
        </w:rPr>
      </w:pPr>
      <w:r w:rsidRPr="00D734B7">
        <w:rPr>
          <w:color w:val="000000" w:themeColor="text1"/>
        </w:rPr>
        <w:t>1. Control with ostomy. Control with an ostomy device over the last three days.</w:t>
      </w:r>
    </w:p>
    <w:p w14:paraId="4BFE1ED5" w14:textId="77777777" w:rsidR="00E1768B" w:rsidRPr="00D734B7" w:rsidRDefault="00E1768B" w:rsidP="00945CAA">
      <w:pPr>
        <w:rPr>
          <w:color w:val="000000" w:themeColor="text1"/>
        </w:rPr>
      </w:pPr>
      <w:r w:rsidRPr="00D734B7">
        <w:rPr>
          <w:color w:val="000000" w:themeColor="text1"/>
        </w:rPr>
        <w:t xml:space="preserve">2. Infrequently incontinent. Not incontinent over the last three </w:t>
      </w:r>
      <w:proofErr w:type="gramStart"/>
      <w:r w:rsidRPr="00D734B7">
        <w:rPr>
          <w:color w:val="000000" w:themeColor="text1"/>
        </w:rPr>
        <w:t>days, but</w:t>
      </w:r>
      <w:proofErr w:type="gramEnd"/>
      <w:r w:rsidRPr="00D734B7">
        <w:rPr>
          <w:color w:val="000000" w:themeColor="text1"/>
        </w:rPr>
        <w:t xml:space="preserve"> does have incontinent episodes.</w:t>
      </w:r>
    </w:p>
    <w:p w14:paraId="6EF1BC39" w14:textId="77777777" w:rsidR="00E1768B" w:rsidRPr="00D734B7" w:rsidRDefault="00E1768B" w:rsidP="00945CAA">
      <w:pPr>
        <w:rPr>
          <w:color w:val="000000" w:themeColor="text1"/>
        </w:rPr>
      </w:pPr>
      <w:r w:rsidRPr="00D734B7">
        <w:rPr>
          <w:color w:val="000000" w:themeColor="text1"/>
        </w:rPr>
        <w:t>3. Occasionally incontinent. Incontinent less than daily.</w:t>
      </w:r>
    </w:p>
    <w:p w14:paraId="4ACED7A9" w14:textId="77777777" w:rsidR="00E1768B" w:rsidRPr="00D734B7" w:rsidRDefault="00E1768B" w:rsidP="00945CAA">
      <w:pPr>
        <w:rPr>
          <w:color w:val="000000" w:themeColor="text1"/>
        </w:rPr>
      </w:pPr>
      <w:r w:rsidRPr="00D734B7">
        <w:rPr>
          <w:color w:val="000000" w:themeColor="text1"/>
        </w:rPr>
        <w:lastRenderedPageBreak/>
        <w:t>4. Frequently incontinent. Incontinent daily, but the person has some control.</w:t>
      </w:r>
    </w:p>
    <w:p w14:paraId="7C343918" w14:textId="77777777" w:rsidR="00E1768B" w:rsidRPr="00D734B7" w:rsidRDefault="00E1768B" w:rsidP="00945CAA">
      <w:pPr>
        <w:rPr>
          <w:color w:val="000000" w:themeColor="text1"/>
        </w:rPr>
      </w:pPr>
      <w:r w:rsidRPr="00D734B7">
        <w:rPr>
          <w:color w:val="000000" w:themeColor="text1"/>
        </w:rPr>
        <w:t>5. Incontinent. No control present.</w:t>
      </w:r>
    </w:p>
    <w:p w14:paraId="7A7F5197" w14:textId="77777777" w:rsidR="00E1768B" w:rsidRPr="00D734B7" w:rsidRDefault="00E1768B" w:rsidP="00945CAA">
      <w:pPr>
        <w:rPr>
          <w:color w:val="000000" w:themeColor="text1"/>
        </w:rPr>
      </w:pPr>
      <w:r w:rsidRPr="00D734B7">
        <w:rPr>
          <w:color w:val="000000" w:themeColor="text1"/>
        </w:rPr>
        <w:t>8. Did not occur.</w:t>
      </w:r>
    </w:p>
    <w:p w14:paraId="1AAC5B05" w14:textId="71FAE08B" w:rsidR="00A615A0" w:rsidRPr="00D734B7" w:rsidRDefault="00E1768B" w:rsidP="00752493">
      <w:pPr>
        <w:pStyle w:val="Heading3"/>
        <w:rPr>
          <w:color w:val="000000" w:themeColor="text1"/>
        </w:rPr>
      </w:pPr>
      <w:bookmarkStart w:id="49" w:name="_Toc215931889"/>
      <w:r w:rsidRPr="00D734B7">
        <w:rPr>
          <w:color w:val="000000" w:themeColor="text1"/>
        </w:rPr>
        <w:t>FED – Section E.4 – Pads or Briefs Worn</w:t>
      </w:r>
      <w:bookmarkEnd w:id="49"/>
    </w:p>
    <w:p w14:paraId="57EF4DD0" w14:textId="5EB72428" w:rsidR="00E1768B" w:rsidRPr="00D734B7" w:rsidRDefault="00E1768B" w:rsidP="008E512D">
      <w:pPr>
        <w:rPr>
          <w:color w:val="000000" w:themeColor="text1"/>
        </w:rPr>
      </w:pPr>
      <w:r w:rsidRPr="00D734B7">
        <w:rPr>
          <w:color w:val="000000" w:themeColor="text1"/>
        </w:rPr>
        <w:t>The last element is a straightforward yes or no. Are pads or briefs worn? A pad or brief refers to any type of absorbent, disposable</w:t>
      </w:r>
      <w:r w:rsidR="006C04CA" w:rsidRPr="00D734B7">
        <w:rPr>
          <w:color w:val="000000" w:themeColor="text1"/>
        </w:rPr>
        <w:t>,</w:t>
      </w:r>
      <w:r w:rsidRPr="00D734B7">
        <w:rPr>
          <w:color w:val="000000" w:themeColor="text1"/>
        </w:rPr>
        <w:t xml:space="preserve"> or reusable undergarment or item, whether worn by the person or placed on the bed or the chair for protection from incontinence. This does not include the routine use of pads on beds when the person is never or rarely incontinent.</w:t>
      </w:r>
    </w:p>
    <w:p w14:paraId="2E85D0B8" w14:textId="3EB388E2" w:rsidR="00A615A0" w:rsidRPr="00D734B7" w:rsidRDefault="00E1768B">
      <w:pPr>
        <w:pStyle w:val="Heading2"/>
        <w:rPr>
          <w:color w:val="000000" w:themeColor="text1"/>
        </w:rPr>
      </w:pPr>
      <w:bookmarkStart w:id="50" w:name="_Toc215931890"/>
      <w:r w:rsidRPr="00D734B7">
        <w:rPr>
          <w:color w:val="000000" w:themeColor="text1"/>
        </w:rPr>
        <w:t>FED – Section F</w:t>
      </w:r>
      <w:bookmarkEnd w:id="50"/>
    </w:p>
    <w:p w14:paraId="11C6B08E" w14:textId="77777777" w:rsidR="00E1768B" w:rsidRPr="00D734B7" w:rsidRDefault="00E1768B" w:rsidP="00945CAA">
      <w:pPr>
        <w:rPr>
          <w:color w:val="000000" w:themeColor="text1"/>
        </w:rPr>
      </w:pPr>
      <w:r w:rsidRPr="00D734B7">
        <w:rPr>
          <w:color w:val="000000" w:themeColor="text1"/>
        </w:rPr>
        <w:t>The next section covers treatments and procedures.</w:t>
      </w:r>
    </w:p>
    <w:p w14:paraId="7845E336" w14:textId="0BF96615" w:rsidR="00A615A0" w:rsidRPr="00D734B7" w:rsidRDefault="00E1768B" w:rsidP="00752493">
      <w:pPr>
        <w:pStyle w:val="Heading3"/>
        <w:rPr>
          <w:color w:val="000000" w:themeColor="text1"/>
        </w:rPr>
      </w:pPr>
      <w:bookmarkStart w:id="51" w:name="_Toc215931891"/>
      <w:r w:rsidRPr="00D734B7">
        <w:rPr>
          <w:color w:val="000000" w:themeColor="text1"/>
        </w:rPr>
        <w:t>FED – Section F –</w:t>
      </w:r>
      <w:r w:rsidR="00900C16" w:rsidRPr="00D734B7">
        <w:rPr>
          <w:color w:val="000000" w:themeColor="text1"/>
        </w:rPr>
        <w:t xml:space="preserve"> </w:t>
      </w:r>
      <w:r w:rsidRPr="00D734B7">
        <w:rPr>
          <w:color w:val="000000" w:themeColor="text1"/>
        </w:rPr>
        <w:t>Treatments and Procedures</w:t>
      </w:r>
      <w:bookmarkEnd w:id="51"/>
    </w:p>
    <w:p w14:paraId="44968DC8" w14:textId="7BF463FE" w:rsidR="00E1768B" w:rsidRPr="00D734B7" w:rsidRDefault="00E1768B" w:rsidP="00945CAA">
      <w:pPr>
        <w:rPr>
          <w:color w:val="000000" w:themeColor="text1"/>
        </w:rPr>
      </w:pPr>
      <w:r w:rsidRPr="00D734B7">
        <w:rPr>
          <w:color w:val="000000" w:themeColor="text1"/>
        </w:rPr>
        <w:t>Coding treatments and procedures helps home care workers and long-term care professionals identify whether the person has unmet needs for health counseling and/or preventative care.</w:t>
      </w:r>
    </w:p>
    <w:p w14:paraId="065ECD60" w14:textId="77777777" w:rsidR="00E1768B" w:rsidRPr="00D734B7" w:rsidRDefault="00E1768B" w:rsidP="00945CAA">
      <w:pPr>
        <w:rPr>
          <w:color w:val="000000" w:themeColor="text1"/>
        </w:rPr>
      </w:pPr>
      <w:r w:rsidRPr="00D734B7">
        <w:rPr>
          <w:color w:val="000000" w:themeColor="text1"/>
        </w:rPr>
        <w:t>Ask the person if they received the following specific health measures noting the time frame in the question:</w:t>
      </w:r>
    </w:p>
    <w:p w14:paraId="7DF991F8" w14:textId="77777777" w:rsidR="00E1768B" w:rsidRPr="00D734B7" w:rsidRDefault="00E1768B" w:rsidP="00FB3088">
      <w:pPr>
        <w:pStyle w:val="ListParagraph"/>
        <w:numPr>
          <w:ilvl w:val="0"/>
          <w:numId w:val="9"/>
        </w:numPr>
        <w:rPr>
          <w:color w:val="000000" w:themeColor="text1"/>
        </w:rPr>
      </w:pPr>
      <w:r w:rsidRPr="00D734B7">
        <w:rPr>
          <w:color w:val="000000" w:themeColor="text1"/>
        </w:rPr>
        <w:t>Blood pressure measured in the last year.</w:t>
      </w:r>
    </w:p>
    <w:p w14:paraId="6A61DCD7" w14:textId="61BBB403" w:rsidR="00E1768B" w:rsidRPr="00D734B7" w:rsidRDefault="00E1768B" w:rsidP="00FB3088">
      <w:pPr>
        <w:pStyle w:val="ListParagraph"/>
        <w:numPr>
          <w:ilvl w:val="0"/>
          <w:numId w:val="9"/>
        </w:numPr>
        <w:rPr>
          <w:color w:val="000000" w:themeColor="text1"/>
        </w:rPr>
      </w:pPr>
      <w:r w:rsidRPr="00D734B7">
        <w:rPr>
          <w:color w:val="000000" w:themeColor="text1"/>
        </w:rPr>
        <w:t>Colonoscopy test in the last five years. This includes using a fiberoptic colonoscope.</w:t>
      </w:r>
    </w:p>
    <w:p w14:paraId="476206C9" w14:textId="77777777" w:rsidR="00E1768B" w:rsidRPr="00D734B7" w:rsidRDefault="00E1768B" w:rsidP="00FB3088">
      <w:pPr>
        <w:pStyle w:val="ListParagraph"/>
        <w:numPr>
          <w:ilvl w:val="0"/>
          <w:numId w:val="9"/>
        </w:numPr>
        <w:rPr>
          <w:color w:val="000000" w:themeColor="text1"/>
        </w:rPr>
      </w:pPr>
      <w:r w:rsidRPr="00D734B7">
        <w:rPr>
          <w:color w:val="000000" w:themeColor="text1"/>
        </w:rPr>
        <w:t>Dental exam in the last year. The exam could be by a dentist, oral surgeon, or dental hygienist.</w:t>
      </w:r>
    </w:p>
    <w:p w14:paraId="16AB2F54" w14:textId="77777777" w:rsidR="00E1768B" w:rsidRPr="00D734B7" w:rsidRDefault="00E1768B" w:rsidP="00FB3088">
      <w:pPr>
        <w:pStyle w:val="ListParagraph"/>
        <w:numPr>
          <w:ilvl w:val="0"/>
          <w:numId w:val="9"/>
        </w:numPr>
        <w:rPr>
          <w:color w:val="000000" w:themeColor="text1"/>
        </w:rPr>
      </w:pPr>
      <w:r w:rsidRPr="00D734B7">
        <w:rPr>
          <w:color w:val="000000" w:themeColor="text1"/>
        </w:rPr>
        <w:t>Eye exam in the last year. The exam could be by an ophthalmologist, optometrist, physician, nurse, or other clinician.</w:t>
      </w:r>
    </w:p>
    <w:p w14:paraId="404368FB" w14:textId="77777777" w:rsidR="00E1768B" w:rsidRPr="00D734B7" w:rsidRDefault="00E1768B" w:rsidP="00FB3088">
      <w:pPr>
        <w:pStyle w:val="ListParagraph"/>
        <w:numPr>
          <w:ilvl w:val="0"/>
          <w:numId w:val="9"/>
        </w:numPr>
        <w:rPr>
          <w:color w:val="000000" w:themeColor="text1"/>
        </w:rPr>
      </w:pPr>
      <w:r w:rsidRPr="00D734B7">
        <w:rPr>
          <w:color w:val="000000" w:themeColor="text1"/>
        </w:rPr>
        <w:t>Hearing exam in the last two years. The person received an examination by an audiologist or other clinician.</w:t>
      </w:r>
    </w:p>
    <w:p w14:paraId="751F3940" w14:textId="77777777" w:rsidR="00E1768B" w:rsidRPr="00D734B7" w:rsidRDefault="00E1768B" w:rsidP="00FB3088">
      <w:pPr>
        <w:pStyle w:val="ListParagraph"/>
        <w:numPr>
          <w:ilvl w:val="0"/>
          <w:numId w:val="9"/>
        </w:numPr>
        <w:rPr>
          <w:color w:val="000000" w:themeColor="text1"/>
        </w:rPr>
      </w:pPr>
      <w:r w:rsidRPr="00D734B7">
        <w:rPr>
          <w:color w:val="000000" w:themeColor="text1"/>
        </w:rPr>
        <w:t>Influenza vaccine in the last year.</w:t>
      </w:r>
    </w:p>
    <w:p w14:paraId="49E444CF" w14:textId="77777777" w:rsidR="00E1768B" w:rsidRPr="00D734B7" w:rsidRDefault="00E1768B" w:rsidP="00FB3088">
      <w:pPr>
        <w:pStyle w:val="ListParagraph"/>
        <w:numPr>
          <w:ilvl w:val="0"/>
          <w:numId w:val="9"/>
        </w:numPr>
        <w:rPr>
          <w:color w:val="000000" w:themeColor="text1"/>
        </w:rPr>
      </w:pPr>
      <w:r w:rsidRPr="00D734B7">
        <w:rPr>
          <w:color w:val="000000" w:themeColor="text1"/>
        </w:rPr>
        <w:t>Mammogram or breast exam in the last two years. This is for women only.</w:t>
      </w:r>
    </w:p>
    <w:p w14:paraId="55309D14" w14:textId="77777777" w:rsidR="00E1768B" w:rsidRPr="00D734B7" w:rsidRDefault="00E1768B" w:rsidP="00FB3088">
      <w:pPr>
        <w:pStyle w:val="ListParagraph"/>
        <w:numPr>
          <w:ilvl w:val="0"/>
          <w:numId w:val="9"/>
        </w:numPr>
        <w:rPr>
          <w:color w:val="000000" w:themeColor="text1"/>
        </w:rPr>
      </w:pPr>
      <w:r w:rsidRPr="00D734B7">
        <w:rPr>
          <w:color w:val="000000" w:themeColor="text1"/>
        </w:rPr>
        <w:t>Pneumovax vaccine in the last five years or after age 65.</w:t>
      </w:r>
    </w:p>
    <w:p w14:paraId="34D7CF13"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The coding is straightforward based on their response. “0” means no. “1” means yes.</w:t>
      </w:r>
    </w:p>
    <w:p w14:paraId="06961B50" w14:textId="5015B8C8" w:rsidR="00A615A0" w:rsidRPr="00D734B7" w:rsidRDefault="00E1768B">
      <w:pPr>
        <w:pStyle w:val="Heading2"/>
        <w:rPr>
          <w:color w:val="000000" w:themeColor="text1"/>
        </w:rPr>
      </w:pPr>
      <w:bookmarkStart w:id="52" w:name="_Toc215931892"/>
      <w:r w:rsidRPr="00D734B7">
        <w:rPr>
          <w:color w:val="000000" w:themeColor="text1"/>
        </w:rPr>
        <w:t>FED – Section G</w:t>
      </w:r>
      <w:bookmarkEnd w:id="52"/>
    </w:p>
    <w:p w14:paraId="61F2AEC2" w14:textId="77777777" w:rsidR="00E1768B" w:rsidRPr="00D734B7" w:rsidRDefault="00E1768B" w:rsidP="00FB3088">
      <w:pPr>
        <w:rPr>
          <w:rFonts w:cs="Arial"/>
          <w:color w:val="000000" w:themeColor="text1"/>
        </w:rPr>
      </w:pPr>
      <w:r w:rsidRPr="00D734B7">
        <w:rPr>
          <w:rFonts w:cs="Arial"/>
          <w:color w:val="000000" w:themeColor="text1"/>
        </w:rPr>
        <w:t xml:space="preserve">Lastly, let’s review instrumental activities of daily living, IADLs. </w:t>
      </w:r>
    </w:p>
    <w:p w14:paraId="1B27B7E1" w14:textId="658DE945" w:rsidR="00A615A0" w:rsidRPr="00D734B7" w:rsidRDefault="00E1768B" w:rsidP="00752493">
      <w:pPr>
        <w:pStyle w:val="Heading3"/>
        <w:rPr>
          <w:color w:val="000000" w:themeColor="text1"/>
        </w:rPr>
      </w:pPr>
      <w:bookmarkStart w:id="53" w:name="_Toc215931893"/>
      <w:r w:rsidRPr="00D734B7">
        <w:rPr>
          <w:color w:val="000000" w:themeColor="text1"/>
        </w:rPr>
        <w:lastRenderedPageBreak/>
        <w:t>FED – Section G – Functional Status –</w:t>
      </w:r>
      <w:r w:rsidR="00900C16" w:rsidRPr="00D734B7">
        <w:rPr>
          <w:color w:val="000000" w:themeColor="text1"/>
        </w:rPr>
        <w:t xml:space="preserve"> </w:t>
      </w:r>
      <w:r w:rsidRPr="00D734B7">
        <w:rPr>
          <w:color w:val="000000" w:themeColor="text1"/>
        </w:rPr>
        <w:t>IADLS</w:t>
      </w:r>
      <w:bookmarkEnd w:id="53"/>
    </w:p>
    <w:p w14:paraId="33626B37" w14:textId="69263E9C" w:rsidR="00E1768B" w:rsidRPr="00D734B7" w:rsidRDefault="00E1768B" w:rsidP="00945CAA">
      <w:pPr>
        <w:rPr>
          <w:color w:val="000000" w:themeColor="text1"/>
        </w:rPr>
      </w:pPr>
      <w:r w:rsidRPr="00D734B7">
        <w:rPr>
          <w:color w:val="000000" w:themeColor="text1"/>
        </w:rPr>
        <w:t>OLTL uses additional questions to assess the individual’s performance and capacity to complete instrumental activities of daily living, IADLs. Both performance of the IADL and the capacity for the person to perform the IADL are included in this part of the assessment.</w:t>
      </w:r>
    </w:p>
    <w:p w14:paraId="6A761D18" w14:textId="48325A16"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The reason is that the nature of IADLs make them more likely to not have happened in the three-day observation period. For example, an individual may only write checks and take care of financial matters </w:t>
      </w:r>
      <w:proofErr w:type="gramStart"/>
      <w:r w:rsidRPr="00D734B7">
        <w:rPr>
          <w:color w:val="000000" w:themeColor="text1"/>
        </w:rPr>
        <w:t>on a monthly basis</w:t>
      </w:r>
      <w:proofErr w:type="gramEnd"/>
      <w:r w:rsidRPr="00D734B7">
        <w:rPr>
          <w:color w:val="000000" w:themeColor="text1"/>
        </w:rPr>
        <w:t>. The house is cleaned on a biweekly basis. People could prepare most of a week’s meals in one day.</w:t>
      </w:r>
    </w:p>
    <w:p w14:paraId="53B96EBC" w14:textId="00BB7B46" w:rsidR="00A615A0" w:rsidRPr="00D734B7" w:rsidRDefault="00E1768B" w:rsidP="00752493">
      <w:pPr>
        <w:pStyle w:val="Heading3"/>
        <w:rPr>
          <w:color w:val="000000" w:themeColor="text1"/>
        </w:rPr>
      </w:pPr>
      <w:bookmarkStart w:id="54" w:name="_Toc215931894"/>
      <w:r w:rsidRPr="00D734B7">
        <w:rPr>
          <w:color w:val="000000" w:themeColor="text1"/>
        </w:rPr>
        <w:t>IADLs – Performance and Capacity</w:t>
      </w:r>
      <w:bookmarkEnd w:id="54"/>
    </w:p>
    <w:p w14:paraId="5E23A126" w14:textId="38E5A745" w:rsidR="00E1768B" w:rsidRPr="00D734B7" w:rsidRDefault="00E1768B" w:rsidP="00945CAA">
      <w:pPr>
        <w:rPr>
          <w:color w:val="000000" w:themeColor="text1"/>
        </w:rPr>
      </w:pPr>
      <w:r w:rsidRPr="00D734B7">
        <w:rPr>
          <w:color w:val="000000" w:themeColor="text1"/>
        </w:rPr>
        <w:t>Instrumental Activities of Daily Living, IADLs, are included in the FED assessment tool. They are not part of scoring, but they provide critical insights into the whole picture of the person’s ability to live independently. IADLs are coded in both performance and capacity. When assessors coded the other activities of daily living, they focused on performance within a three-day observation period. Instrumental activities of daily living require assessors to look at both performance and capacity. It is essential that Aging Well PA assessors and service coordinators understand the difference.</w:t>
      </w:r>
    </w:p>
    <w:p w14:paraId="09ADA45B" w14:textId="30C4ADB0" w:rsidR="00E1768B" w:rsidRPr="00D734B7" w:rsidRDefault="00E1768B" w:rsidP="00945CAA">
      <w:pPr>
        <w:rPr>
          <w:color w:val="000000" w:themeColor="text1"/>
        </w:rPr>
      </w:pPr>
      <w:r w:rsidRPr="00D734B7">
        <w:rPr>
          <w:color w:val="000000" w:themeColor="text1"/>
        </w:rPr>
        <w:t xml:space="preserve">Performance measures what the person </w:t>
      </w:r>
      <w:proofErr w:type="gramStart"/>
      <w:r w:rsidRPr="00D734B7">
        <w:rPr>
          <w:color w:val="000000" w:themeColor="text1"/>
        </w:rPr>
        <w:t>actually did</w:t>
      </w:r>
      <w:proofErr w:type="gramEnd"/>
      <w:r w:rsidRPr="00D734B7">
        <w:rPr>
          <w:color w:val="000000" w:themeColor="text1"/>
        </w:rPr>
        <w:t xml:space="preserve"> in each category in the last three days. This is consistent with assessors' measurements in the other activities of daily living.</w:t>
      </w:r>
    </w:p>
    <w:p w14:paraId="05AC46C1" w14:textId="33E7CD9D" w:rsidR="00E1768B" w:rsidRPr="00D734B7" w:rsidRDefault="00E1768B" w:rsidP="00945CAA">
      <w:pPr>
        <w:rPr>
          <w:color w:val="000000" w:themeColor="text1"/>
        </w:rPr>
      </w:pPr>
      <w:r w:rsidRPr="00D734B7">
        <w:rPr>
          <w:color w:val="000000" w:themeColor="text1"/>
        </w:rPr>
        <w:t xml:space="preserve">Capacity measures the person's presumed ability to carry out the activity. This requires speculation by the assessor. It requires the assessor to question a bit more deeply to understand the root cause if an individual is not entirely independent. An individual may not have performed an activity due to scheduling. If I only write my checks once a month, I may not have performed that activity within the three-day observation period. However, I could, and do, perform the activity on an ongoing basis. Another reason an individual may not perform some activities is due to a lack of skills or experience. An individual may have the capacity to do </w:t>
      </w:r>
      <w:proofErr w:type="gramStart"/>
      <w:r w:rsidRPr="00D734B7">
        <w:rPr>
          <w:color w:val="000000" w:themeColor="text1"/>
        </w:rPr>
        <w:t>something,</w:t>
      </w:r>
      <w:proofErr w:type="gramEnd"/>
      <w:r w:rsidRPr="00D734B7">
        <w:rPr>
          <w:color w:val="000000" w:themeColor="text1"/>
        </w:rPr>
        <w:t xml:space="preserve"> </w:t>
      </w:r>
      <w:proofErr w:type="gramStart"/>
      <w:r w:rsidRPr="00D734B7">
        <w:rPr>
          <w:color w:val="000000" w:themeColor="text1"/>
        </w:rPr>
        <w:t>as long as</w:t>
      </w:r>
      <w:proofErr w:type="gramEnd"/>
      <w:r w:rsidRPr="00D734B7">
        <w:rPr>
          <w:color w:val="000000" w:themeColor="text1"/>
        </w:rPr>
        <w:t xml:space="preserve"> they receive the required training.</w:t>
      </w:r>
      <w:r w:rsidR="00900C16" w:rsidRPr="00D734B7">
        <w:rPr>
          <w:color w:val="000000" w:themeColor="text1"/>
        </w:rPr>
        <w:t xml:space="preserve"> </w:t>
      </w:r>
      <w:r w:rsidRPr="00D734B7">
        <w:rPr>
          <w:color w:val="000000" w:themeColor="text1"/>
        </w:rPr>
        <w:t>Finally, an individual may rely on a caregiver or family member to perform an activity because the caregiver prefers to do it. For example, a man's daughter may feel compelled to cook meals and deliver them to her father's house as a way of supporting him now that his wife is gone. The man could probably cook on his own, but he does not because his daughter prefers to do it for him. This information is captured by measuring both an individual’s actual performance (did they do the thing?) and capacity (could they have done it?).</w:t>
      </w:r>
    </w:p>
    <w:p w14:paraId="03A7F8B9" w14:textId="4096138C" w:rsidR="00E1768B" w:rsidRPr="00D734B7" w:rsidRDefault="00E1768B" w:rsidP="00945CAA">
      <w:pPr>
        <w:rPr>
          <w:color w:val="000000" w:themeColor="text1"/>
        </w:rPr>
      </w:pPr>
      <w:r w:rsidRPr="00D734B7">
        <w:rPr>
          <w:color w:val="000000" w:themeColor="text1"/>
        </w:rPr>
        <w:t xml:space="preserve">In short, code performance based on what the individual </w:t>
      </w:r>
      <w:proofErr w:type="gramStart"/>
      <w:r w:rsidRPr="00D734B7">
        <w:rPr>
          <w:color w:val="000000" w:themeColor="text1"/>
        </w:rPr>
        <w:t>actually did</w:t>
      </w:r>
      <w:proofErr w:type="gramEnd"/>
      <w:r w:rsidRPr="00D734B7">
        <w:rPr>
          <w:color w:val="000000" w:themeColor="text1"/>
        </w:rPr>
        <w:t xml:space="preserve"> in the three-day observation window. Code capacity </w:t>
      </w:r>
      <w:proofErr w:type="gramStart"/>
      <w:r w:rsidRPr="00D734B7">
        <w:rPr>
          <w:color w:val="000000" w:themeColor="text1"/>
        </w:rPr>
        <w:t>based</w:t>
      </w:r>
      <w:proofErr w:type="gramEnd"/>
      <w:r w:rsidRPr="00D734B7">
        <w:rPr>
          <w:color w:val="000000" w:themeColor="text1"/>
        </w:rPr>
        <w:t xml:space="preserve"> on conversations in terms of their presumed ability to complete activities.</w:t>
      </w:r>
    </w:p>
    <w:p w14:paraId="618782DE" w14:textId="56E1DE74" w:rsidR="00A615A0" w:rsidRPr="00D734B7" w:rsidRDefault="00E1768B" w:rsidP="00752493">
      <w:pPr>
        <w:pStyle w:val="Heading3"/>
        <w:rPr>
          <w:color w:val="000000" w:themeColor="text1"/>
        </w:rPr>
      </w:pPr>
      <w:bookmarkStart w:id="55" w:name="_Toc215931895"/>
      <w:r w:rsidRPr="00D734B7">
        <w:rPr>
          <w:color w:val="000000" w:themeColor="text1"/>
        </w:rPr>
        <w:lastRenderedPageBreak/>
        <w:t>FED – Section G – Functional Status – Coding</w:t>
      </w:r>
      <w:bookmarkEnd w:id="55"/>
    </w:p>
    <w:p w14:paraId="62C070AD" w14:textId="77777777" w:rsidR="00E1768B" w:rsidRPr="00D734B7" w:rsidRDefault="00E1768B" w:rsidP="00945CAA">
      <w:pPr>
        <w:rPr>
          <w:color w:val="000000" w:themeColor="text1"/>
        </w:rPr>
      </w:pPr>
      <w:r w:rsidRPr="00D734B7">
        <w:rPr>
          <w:color w:val="000000" w:themeColor="text1"/>
        </w:rPr>
        <w:t>Let's review coding for both performance and capability. The coding is as follows:</w:t>
      </w:r>
    </w:p>
    <w:p w14:paraId="6557D062" w14:textId="32E1A4DA" w:rsidR="00E1768B" w:rsidRPr="00D734B7" w:rsidRDefault="00E1768B" w:rsidP="00945CAA">
      <w:pPr>
        <w:rPr>
          <w:color w:val="000000" w:themeColor="text1"/>
        </w:rPr>
      </w:pPr>
      <w:r w:rsidRPr="00D734B7">
        <w:rPr>
          <w:color w:val="000000" w:themeColor="text1"/>
        </w:rPr>
        <w:t>0.</w:t>
      </w:r>
      <w:r w:rsidR="00900C16" w:rsidRPr="00D734B7">
        <w:rPr>
          <w:color w:val="000000" w:themeColor="text1"/>
        </w:rPr>
        <w:t xml:space="preserve"> </w:t>
      </w:r>
      <w:r w:rsidRPr="00D734B7">
        <w:rPr>
          <w:color w:val="000000" w:themeColor="text1"/>
        </w:rPr>
        <w:t>Independent. No help, setup, or supervision.</w:t>
      </w:r>
    </w:p>
    <w:p w14:paraId="74E231B7" w14:textId="1F6878E7" w:rsidR="00E1768B" w:rsidRPr="00D734B7" w:rsidRDefault="00E1768B" w:rsidP="00945CAA">
      <w:pPr>
        <w:rPr>
          <w:color w:val="000000" w:themeColor="text1"/>
        </w:rPr>
      </w:pPr>
      <w:r w:rsidRPr="00D734B7">
        <w:rPr>
          <w:color w:val="000000" w:themeColor="text1"/>
        </w:rPr>
        <w:t>1.</w:t>
      </w:r>
      <w:r w:rsidR="00900C16" w:rsidRPr="00D734B7">
        <w:rPr>
          <w:color w:val="000000" w:themeColor="text1"/>
        </w:rPr>
        <w:t xml:space="preserve"> </w:t>
      </w:r>
      <w:r w:rsidRPr="00D734B7">
        <w:rPr>
          <w:color w:val="000000" w:themeColor="text1"/>
        </w:rPr>
        <w:t>Setup help only.</w:t>
      </w:r>
    </w:p>
    <w:p w14:paraId="249A2BD3" w14:textId="571549A4" w:rsidR="00E1768B" w:rsidRPr="00D734B7" w:rsidRDefault="00E1768B" w:rsidP="00945CAA">
      <w:pPr>
        <w:rPr>
          <w:color w:val="000000" w:themeColor="text1"/>
        </w:rPr>
      </w:pPr>
      <w:r w:rsidRPr="00D734B7">
        <w:rPr>
          <w:color w:val="000000" w:themeColor="text1"/>
        </w:rPr>
        <w:t>2.</w:t>
      </w:r>
      <w:r w:rsidR="00900C16" w:rsidRPr="00D734B7">
        <w:rPr>
          <w:color w:val="000000" w:themeColor="text1"/>
        </w:rPr>
        <w:t xml:space="preserve"> </w:t>
      </w:r>
      <w:r w:rsidRPr="00D734B7">
        <w:rPr>
          <w:color w:val="000000" w:themeColor="text1"/>
        </w:rPr>
        <w:t>Supervision. Oversight and or cueing is required.</w:t>
      </w:r>
    </w:p>
    <w:p w14:paraId="498FF852" w14:textId="15814D66" w:rsidR="00E1768B" w:rsidRPr="00D734B7" w:rsidRDefault="00E1768B" w:rsidP="00945CAA">
      <w:pPr>
        <w:rPr>
          <w:color w:val="000000" w:themeColor="text1"/>
        </w:rPr>
      </w:pPr>
      <w:r w:rsidRPr="00D734B7">
        <w:rPr>
          <w:color w:val="000000" w:themeColor="text1"/>
        </w:rPr>
        <w:t>3.</w:t>
      </w:r>
      <w:r w:rsidR="00900C16" w:rsidRPr="00D734B7">
        <w:rPr>
          <w:color w:val="000000" w:themeColor="text1"/>
        </w:rPr>
        <w:t xml:space="preserve"> </w:t>
      </w:r>
      <w:r w:rsidRPr="00D734B7">
        <w:rPr>
          <w:color w:val="000000" w:themeColor="text1"/>
        </w:rPr>
        <w:t>Limited assistance. Help on some occasions.</w:t>
      </w:r>
    </w:p>
    <w:p w14:paraId="3336443F" w14:textId="65B0A3FC" w:rsidR="00E1768B" w:rsidRPr="00D734B7" w:rsidRDefault="00E1768B" w:rsidP="00945CAA">
      <w:pPr>
        <w:rPr>
          <w:color w:val="000000" w:themeColor="text1"/>
        </w:rPr>
      </w:pPr>
      <w:r w:rsidRPr="00D734B7">
        <w:rPr>
          <w:color w:val="000000" w:themeColor="text1"/>
        </w:rPr>
        <w:t>4.</w:t>
      </w:r>
      <w:r w:rsidR="00900C16" w:rsidRPr="00D734B7">
        <w:rPr>
          <w:color w:val="000000" w:themeColor="text1"/>
        </w:rPr>
        <w:t xml:space="preserve"> </w:t>
      </w:r>
      <w:r w:rsidRPr="00D734B7">
        <w:rPr>
          <w:color w:val="000000" w:themeColor="text1"/>
        </w:rPr>
        <w:t xml:space="preserve">Extensive assistance. Help throughout the </w:t>
      </w:r>
      <w:proofErr w:type="gramStart"/>
      <w:r w:rsidRPr="00D734B7">
        <w:rPr>
          <w:color w:val="000000" w:themeColor="text1"/>
        </w:rPr>
        <w:t>task, but</w:t>
      </w:r>
      <w:proofErr w:type="gramEnd"/>
      <w:r w:rsidRPr="00D734B7">
        <w:rPr>
          <w:color w:val="000000" w:themeColor="text1"/>
        </w:rPr>
        <w:t xml:space="preserve"> performs 50% or more of the task on their own.</w:t>
      </w:r>
    </w:p>
    <w:p w14:paraId="43E4F24A" w14:textId="5DFBBE51" w:rsidR="00E1768B" w:rsidRPr="00D734B7" w:rsidRDefault="00E1768B" w:rsidP="00945CAA">
      <w:pPr>
        <w:rPr>
          <w:color w:val="000000" w:themeColor="text1"/>
        </w:rPr>
      </w:pPr>
      <w:r w:rsidRPr="00D734B7">
        <w:rPr>
          <w:color w:val="000000" w:themeColor="text1"/>
        </w:rPr>
        <w:t>5.</w:t>
      </w:r>
      <w:r w:rsidR="00900C16" w:rsidRPr="00D734B7">
        <w:rPr>
          <w:color w:val="000000" w:themeColor="text1"/>
        </w:rPr>
        <w:t xml:space="preserve"> </w:t>
      </w:r>
      <w:r w:rsidRPr="00D734B7">
        <w:rPr>
          <w:color w:val="000000" w:themeColor="text1"/>
        </w:rPr>
        <w:t xml:space="preserve">Maximal assistance. Help throughout the </w:t>
      </w:r>
      <w:proofErr w:type="gramStart"/>
      <w:r w:rsidRPr="00D734B7">
        <w:rPr>
          <w:color w:val="000000" w:themeColor="text1"/>
        </w:rPr>
        <w:t>task, but</w:t>
      </w:r>
      <w:proofErr w:type="gramEnd"/>
      <w:r w:rsidRPr="00D734B7">
        <w:rPr>
          <w:color w:val="000000" w:themeColor="text1"/>
        </w:rPr>
        <w:t xml:space="preserve"> performs less than 50% of the task on their own.</w:t>
      </w:r>
    </w:p>
    <w:p w14:paraId="412FCCB6" w14:textId="1036FE6C" w:rsidR="00E1768B" w:rsidRPr="00D734B7" w:rsidRDefault="00E1768B" w:rsidP="00945CAA">
      <w:pPr>
        <w:rPr>
          <w:color w:val="000000" w:themeColor="text1"/>
        </w:rPr>
      </w:pPr>
      <w:r w:rsidRPr="00D734B7">
        <w:rPr>
          <w:color w:val="000000" w:themeColor="text1"/>
        </w:rPr>
        <w:t>6.</w:t>
      </w:r>
      <w:r w:rsidR="00900C16" w:rsidRPr="00D734B7">
        <w:rPr>
          <w:color w:val="000000" w:themeColor="text1"/>
        </w:rPr>
        <w:t xml:space="preserve"> </w:t>
      </w:r>
      <w:r w:rsidRPr="00D734B7">
        <w:rPr>
          <w:color w:val="000000" w:themeColor="text1"/>
        </w:rPr>
        <w:t>Total dependence. Full performance by others during entire period.</w:t>
      </w:r>
    </w:p>
    <w:p w14:paraId="61CD3510" w14:textId="15EB3406" w:rsidR="00E1768B" w:rsidRPr="00D734B7" w:rsidRDefault="00E1768B" w:rsidP="00945CAA">
      <w:pPr>
        <w:rPr>
          <w:color w:val="000000" w:themeColor="text1"/>
        </w:rPr>
      </w:pPr>
      <w:r w:rsidRPr="00D734B7">
        <w:rPr>
          <w:color w:val="000000" w:themeColor="text1"/>
        </w:rPr>
        <w:t>8.</w:t>
      </w:r>
      <w:r w:rsidR="00900C16" w:rsidRPr="00D734B7">
        <w:rPr>
          <w:color w:val="000000" w:themeColor="text1"/>
        </w:rPr>
        <w:t xml:space="preserve"> </w:t>
      </w:r>
      <w:r w:rsidRPr="00D734B7">
        <w:rPr>
          <w:color w:val="000000" w:themeColor="text1"/>
        </w:rPr>
        <w:t>Activity did not occur during entire period.</w:t>
      </w:r>
    </w:p>
    <w:p w14:paraId="08B9734D" w14:textId="743B7B17" w:rsidR="00E1768B" w:rsidRPr="00D734B7" w:rsidRDefault="00E1768B" w:rsidP="00945CAA">
      <w:pPr>
        <w:rPr>
          <w:color w:val="000000" w:themeColor="text1"/>
        </w:rPr>
      </w:pPr>
      <w:r w:rsidRPr="00D734B7">
        <w:rPr>
          <w:color w:val="000000" w:themeColor="text1"/>
        </w:rPr>
        <w:t>For example, if Mrs. Green has her caregiver put her pills in her pill pack by day, and that is all the assistance she needs, the coding would be “1</w:t>
      </w:r>
      <w:r w:rsidR="006C04CA" w:rsidRPr="00D734B7">
        <w:rPr>
          <w:color w:val="000000" w:themeColor="text1"/>
        </w:rPr>
        <w:t>,</w:t>
      </w:r>
      <w:r w:rsidRPr="00D734B7">
        <w:rPr>
          <w:color w:val="000000" w:themeColor="text1"/>
        </w:rPr>
        <w:t>” because Mrs. Green only requires setup help. She can remember to take her medications using the pill pack. If Mrs. Green gets to the point where she starts to forget to take her medications on time and with any required food or drink, her caregiver may need to cue her and ensure that the pills were taken. In that case, Mrs. Green requires supervision and cueing. The assessor would code this as a “2.”</w:t>
      </w:r>
    </w:p>
    <w:p w14:paraId="1B546EC6" w14:textId="330ECF42" w:rsidR="00E1768B" w:rsidRPr="00D734B7" w:rsidRDefault="00E1768B" w:rsidP="00945CAA">
      <w:pPr>
        <w:rPr>
          <w:color w:val="000000" w:themeColor="text1"/>
        </w:rPr>
      </w:pPr>
      <w:r w:rsidRPr="00D734B7">
        <w:rPr>
          <w:color w:val="000000" w:themeColor="text1"/>
        </w:rPr>
        <w:t>Let's move on and review each of the Instrumental Activities of Daily Living that are included in the initial assessment and in annual comprehensive needs assessments.</w:t>
      </w:r>
    </w:p>
    <w:p w14:paraId="2068E4F7" w14:textId="337E3CCC" w:rsidR="00A615A0" w:rsidRPr="00D734B7" w:rsidRDefault="00E1768B" w:rsidP="00752493">
      <w:pPr>
        <w:pStyle w:val="Heading3"/>
        <w:rPr>
          <w:color w:val="000000" w:themeColor="text1"/>
        </w:rPr>
      </w:pPr>
      <w:bookmarkStart w:id="56" w:name="_Toc215931896"/>
      <w:r w:rsidRPr="00D734B7">
        <w:rPr>
          <w:color w:val="000000" w:themeColor="text1"/>
        </w:rPr>
        <w:t>FED – Section G – Functional Status – Meal Prep</w:t>
      </w:r>
      <w:bookmarkEnd w:id="56"/>
    </w:p>
    <w:p w14:paraId="1CB7E287" w14:textId="4BF742A8" w:rsidR="00E1768B" w:rsidRPr="00D734B7" w:rsidRDefault="00E1768B" w:rsidP="00945CAA">
      <w:pPr>
        <w:rPr>
          <w:color w:val="000000" w:themeColor="text1"/>
        </w:rPr>
      </w:pPr>
      <w:r w:rsidRPr="00D734B7">
        <w:rPr>
          <w:color w:val="000000" w:themeColor="text1"/>
        </w:rPr>
        <w:t>This category refers to how meals are prepared. This includes planning meals, assembling ingredients, cooking, and setting out the food and the utensils needed. This item is assessed in terms of the person's ability to put meals together, regardless of the quality of the meal or the nutritional value of the meal.</w:t>
      </w:r>
    </w:p>
    <w:p w14:paraId="05882FF7" w14:textId="55864220" w:rsidR="00AE5F17" w:rsidRPr="00D734B7" w:rsidRDefault="00AE5F17" w:rsidP="00945CAA">
      <w:pPr>
        <w:rPr>
          <w:color w:val="000000" w:themeColor="text1"/>
        </w:rPr>
      </w:pPr>
      <w:r w:rsidRPr="00D734B7">
        <w:rPr>
          <w:color w:val="000000" w:themeColor="text1"/>
        </w:rPr>
        <w:t>Let’s review the stories of Mr. Harris, Mrs. Green, and Mr. Yee.</w:t>
      </w:r>
    </w:p>
    <w:p w14:paraId="6199C216" w14:textId="65E06D34" w:rsidR="00A615A0" w:rsidRPr="00D734B7" w:rsidRDefault="00E1768B" w:rsidP="00752493">
      <w:pPr>
        <w:pStyle w:val="Heading4"/>
        <w:rPr>
          <w:color w:val="000000" w:themeColor="text1"/>
        </w:rPr>
      </w:pPr>
      <w:r w:rsidRPr="00D734B7">
        <w:rPr>
          <w:color w:val="000000" w:themeColor="text1"/>
        </w:rPr>
        <w:t>Mr. Harris</w:t>
      </w:r>
    </w:p>
    <w:p w14:paraId="160D289F" w14:textId="7E2DB0EA" w:rsidR="000C160D" w:rsidRPr="00D734B7" w:rsidRDefault="000C160D" w:rsidP="000C160D">
      <w:pPr>
        <w:rPr>
          <w:color w:val="000000" w:themeColor="text1"/>
        </w:rPr>
      </w:pPr>
      <w:r w:rsidRPr="00D734B7">
        <w:rPr>
          <w:color w:val="000000" w:themeColor="text1"/>
        </w:rPr>
        <w:t>Mr. Harris is a recent widower. His wife died six months ago. Mr. Harris made his own meals</w:t>
      </w:r>
      <w:r w:rsidR="006C04CA" w:rsidRPr="00D734B7">
        <w:rPr>
          <w:color w:val="000000" w:themeColor="text1"/>
        </w:rPr>
        <w:t>—</w:t>
      </w:r>
      <w:r w:rsidRPr="00D734B7">
        <w:rPr>
          <w:color w:val="000000" w:themeColor="text1"/>
        </w:rPr>
        <w:t>breakfast, lunch, and dinner</w:t>
      </w:r>
      <w:r w:rsidR="006C04CA" w:rsidRPr="00D734B7">
        <w:rPr>
          <w:color w:val="000000" w:themeColor="text1"/>
        </w:rPr>
        <w:t>—</w:t>
      </w:r>
      <w:r w:rsidRPr="00D734B7">
        <w:rPr>
          <w:color w:val="000000" w:themeColor="text1"/>
        </w:rPr>
        <w:t>every day in the three-day observation.</w:t>
      </w:r>
    </w:p>
    <w:p w14:paraId="43C57760" w14:textId="3274A057" w:rsidR="000C160D" w:rsidRPr="00D734B7" w:rsidRDefault="000C160D" w:rsidP="000C160D">
      <w:pPr>
        <w:rPr>
          <w:color w:val="000000" w:themeColor="text1"/>
        </w:rPr>
      </w:pPr>
      <w:r w:rsidRPr="00D734B7">
        <w:rPr>
          <w:color w:val="000000" w:themeColor="text1"/>
        </w:rPr>
        <w:t>He would be coded as “0” because he did everything without assistance and independently. That is performance.</w:t>
      </w:r>
    </w:p>
    <w:p w14:paraId="43E67B2A" w14:textId="7D51FE60" w:rsidR="000C160D" w:rsidRPr="00D734B7" w:rsidRDefault="000C160D" w:rsidP="000C160D">
      <w:pPr>
        <w:rPr>
          <w:color w:val="000000" w:themeColor="text1"/>
        </w:rPr>
      </w:pPr>
      <w:r w:rsidRPr="00D734B7">
        <w:rPr>
          <w:color w:val="000000" w:themeColor="text1"/>
        </w:rPr>
        <w:lastRenderedPageBreak/>
        <w:t>Mr. Harris told the service coordinator that he is not good with making the same kinds of meals his wife made before she died. Mr. Harris has cold cereal for breakfast; a sandwich, pickles, and chips at lunch; and toast for dinner.</w:t>
      </w:r>
    </w:p>
    <w:p w14:paraId="07AA24DA" w14:textId="62A06A66" w:rsidR="000C160D" w:rsidRPr="00D734B7" w:rsidRDefault="000C160D" w:rsidP="000C160D">
      <w:pPr>
        <w:rPr>
          <w:color w:val="000000" w:themeColor="text1"/>
        </w:rPr>
      </w:pPr>
      <w:r w:rsidRPr="00D734B7">
        <w:rPr>
          <w:color w:val="000000" w:themeColor="text1"/>
        </w:rPr>
        <w:t>He prepares these independently and without assistance. Therefore, he would be scored as independent in meal preparation capacity.</w:t>
      </w:r>
    </w:p>
    <w:p w14:paraId="327850E7" w14:textId="3BBCBFE5" w:rsidR="000C160D" w:rsidRPr="00D734B7" w:rsidRDefault="000C160D" w:rsidP="000C160D">
      <w:pPr>
        <w:rPr>
          <w:color w:val="000000" w:themeColor="text1"/>
        </w:rPr>
      </w:pPr>
      <w:r w:rsidRPr="00D734B7">
        <w:rPr>
          <w:color w:val="000000" w:themeColor="text1"/>
        </w:rPr>
        <w:t>The service coordinator would likely note in the comments that Mr. Harris only has cold meals and that reviewing nutritional goals may be a significant part of the service planning process.</w:t>
      </w:r>
    </w:p>
    <w:p w14:paraId="263221D9" w14:textId="78E0E092" w:rsidR="000C160D" w:rsidRPr="00D734B7" w:rsidRDefault="000C160D" w:rsidP="000C160D">
      <w:pPr>
        <w:rPr>
          <w:color w:val="000000" w:themeColor="text1"/>
        </w:rPr>
      </w:pPr>
      <w:r w:rsidRPr="00D734B7">
        <w:rPr>
          <w:color w:val="000000" w:themeColor="text1"/>
        </w:rPr>
        <w:t>Part of our person-centered service plan might be having a care worker show Mr. Harris how to make some of the foods he used to enjoy when his wife cooked.</w:t>
      </w:r>
    </w:p>
    <w:p w14:paraId="62B7AE97" w14:textId="501EA2E7" w:rsidR="00A615A0" w:rsidRPr="00D734B7" w:rsidRDefault="000C160D" w:rsidP="000C160D">
      <w:pPr>
        <w:rPr>
          <w:color w:val="000000" w:themeColor="text1"/>
        </w:rPr>
      </w:pPr>
      <w:r w:rsidRPr="00D734B7">
        <w:rPr>
          <w:color w:val="000000" w:themeColor="text1"/>
        </w:rPr>
        <w:t>Clearly, this does not affect eligibility for the program. It does inform the person-centered service plan so that Mr. Harris can have access to better nutrition. Mr. Harris can learn to cook to become independent with better nutrition.</w:t>
      </w:r>
    </w:p>
    <w:p w14:paraId="3BB1C693" w14:textId="146BC00B" w:rsidR="00A615A0" w:rsidRPr="00D734B7" w:rsidRDefault="00E1768B" w:rsidP="00752493">
      <w:pPr>
        <w:pStyle w:val="Heading4"/>
        <w:rPr>
          <w:color w:val="000000" w:themeColor="text1"/>
        </w:rPr>
      </w:pPr>
      <w:r w:rsidRPr="00D734B7">
        <w:rPr>
          <w:color w:val="000000" w:themeColor="text1"/>
        </w:rPr>
        <w:t>Mrs. Green</w:t>
      </w:r>
    </w:p>
    <w:p w14:paraId="5876B118" w14:textId="7DA66262" w:rsidR="000C160D" w:rsidRPr="00D734B7" w:rsidRDefault="000C160D" w:rsidP="000C160D">
      <w:pPr>
        <w:rPr>
          <w:color w:val="000000" w:themeColor="text1"/>
        </w:rPr>
      </w:pPr>
      <w:r w:rsidRPr="00D734B7">
        <w:rPr>
          <w:color w:val="000000" w:themeColor="text1"/>
        </w:rPr>
        <w:t>Mrs. Green has a lot less mobility in her body and less dexterity and strength in her hands due to arthritis and a lack of activity.</w:t>
      </w:r>
    </w:p>
    <w:p w14:paraId="0A2431BD" w14:textId="77777777" w:rsidR="000C160D" w:rsidRPr="00D734B7" w:rsidRDefault="000C160D" w:rsidP="000C160D">
      <w:pPr>
        <w:rPr>
          <w:color w:val="000000" w:themeColor="text1"/>
        </w:rPr>
      </w:pPr>
      <w:r w:rsidRPr="00D734B7">
        <w:rPr>
          <w:color w:val="000000" w:themeColor="text1"/>
        </w:rPr>
        <w:t>For the last month, she has relied on Meals on Wheels for lunches and on her daughter for breakfast and dinner foods. Her daughter prepares and freezes small meals for her mother to heat in the microwave.</w:t>
      </w:r>
    </w:p>
    <w:p w14:paraId="4FA81E0A" w14:textId="77777777" w:rsidR="000C160D" w:rsidRPr="00D734B7" w:rsidRDefault="000C160D" w:rsidP="000C160D">
      <w:pPr>
        <w:rPr>
          <w:color w:val="000000" w:themeColor="text1"/>
        </w:rPr>
      </w:pPr>
      <w:r w:rsidRPr="00D734B7">
        <w:rPr>
          <w:color w:val="000000" w:themeColor="text1"/>
        </w:rPr>
        <w:t>Her performance score is “6” for maximal assistance. She was able to plan and order home delivered meals. She was able to reheat the prepared meals from her daughter.</w:t>
      </w:r>
    </w:p>
    <w:p w14:paraId="1B4F1B07" w14:textId="1BFE14BC" w:rsidR="000C160D" w:rsidRPr="00D734B7" w:rsidRDefault="000C160D" w:rsidP="000C160D">
      <w:pPr>
        <w:rPr>
          <w:color w:val="000000" w:themeColor="text1"/>
        </w:rPr>
      </w:pPr>
      <w:r w:rsidRPr="00D734B7">
        <w:rPr>
          <w:color w:val="000000" w:themeColor="text1"/>
        </w:rPr>
        <w:t>In terms of capacity, she said that she always loved cooking and would like to prepare her own meals again so that she can control the ingredients and the taste.</w:t>
      </w:r>
    </w:p>
    <w:p w14:paraId="7A465A11" w14:textId="48700623" w:rsidR="000C160D" w:rsidRPr="00D734B7" w:rsidRDefault="000C160D" w:rsidP="000C160D">
      <w:pPr>
        <w:rPr>
          <w:color w:val="000000" w:themeColor="text1"/>
        </w:rPr>
      </w:pPr>
      <w:r w:rsidRPr="00D734B7">
        <w:rPr>
          <w:color w:val="000000" w:themeColor="text1"/>
        </w:rPr>
        <w:t>Mrs. Green can no longer lift heavy pots and pans. She can operate the stove and work with smaller batches of dry ingredients.</w:t>
      </w:r>
    </w:p>
    <w:p w14:paraId="54CDB147" w14:textId="715B4C1C" w:rsidR="000C160D" w:rsidRPr="00D734B7" w:rsidRDefault="000C160D" w:rsidP="000C160D">
      <w:pPr>
        <w:rPr>
          <w:color w:val="000000" w:themeColor="text1"/>
        </w:rPr>
      </w:pPr>
      <w:r w:rsidRPr="00D734B7">
        <w:rPr>
          <w:color w:val="000000" w:themeColor="text1"/>
        </w:rPr>
        <w:t>She has always created shopping lists based on a two-week window of eating. This saves her time and money because she can only afford two trips to the store per month. Mrs. Green can plan her meals and shop for food with the assistance of people in the grocery store.</w:t>
      </w:r>
    </w:p>
    <w:p w14:paraId="73790BB4" w14:textId="21B852F4" w:rsidR="000C160D" w:rsidRPr="00D734B7" w:rsidRDefault="000C160D" w:rsidP="000C160D">
      <w:pPr>
        <w:rPr>
          <w:color w:val="000000" w:themeColor="text1"/>
        </w:rPr>
      </w:pPr>
      <w:r w:rsidRPr="00D734B7">
        <w:rPr>
          <w:color w:val="000000" w:themeColor="text1"/>
        </w:rPr>
        <w:t>She can no longer safely use her chopping, boning</w:t>
      </w:r>
      <w:r w:rsidR="006C04CA" w:rsidRPr="00D734B7">
        <w:rPr>
          <w:color w:val="000000" w:themeColor="text1"/>
        </w:rPr>
        <w:t>,</w:t>
      </w:r>
      <w:r w:rsidRPr="00D734B7">
        <w:rPr>
          <w:color w:val="000000" w:themeColor="text1"/>
        </w:rPr>
        <w:t xml:space="preserve"> and grating tools. She can direct the preparation of food and monitor the cooking. She cannot lift the pots and pans from the stove.</w:t>
      </w:r>
    </w:p>
    <w:p w14:paraId="2E1BC893" w14:textId="3C8AA8D0" w:rsidR="00A615A0" w:rsidRPr="00D734B7" w:rsidRDefault="000C160D" w:rsidP="000C160D">
      <w:pPr>
        <w:rPr>
          <w:color w:val="000000" w:themeColor="text1"/>
        </w:rPr>
      </w:pPr>
      <w:r w:rsidRPr="00D734B7">
        <w:rPr>
          <w:color w:val="000000" w:themeColor="text1"/>
        </w:rPr>
        <w:t xml:space="preserve">Mrs. Green would be coded as a “5” for maximal assistance. She performs less than 50% of the activity. Mrs. Green will remain somewhat dependent, but </w:t>
      </w:r>
      <w:r w:rsidR="006C04CA" w:rsidRPr="00D734B7">
        <w:rPr>
          <w:color w:val="000000" w:themeColor="text1"/>
        </w:rPr>
        <w:t xml:space="preserve">she </w:t>
      </w:r>
      <w:r w:rsidRPr="00D734B7">
        <w:rPr>
          <w:color w:val="000000" w:themeColor="text1"/>
        </w:rPr>
        <w:t>will have more input into meal design and preparation.</w:t>
      </w:r>
    </w:p>
    <w:p w14:paraId="7AEA7AB4" w14:textId="668EA0FF" w:rsidR="00A615A0" w:rsidRPr="00D734B7" w:rsidRDefault="00E1768B" w:rsidP="00752493">
      <w:pPr>
        <w:pStyle w:val="Heading4"/>
        <w:rPr>
          <w:color w:val="000000" w:themeColor="text1"/>
        </w:rPr>
      </w:pPr>
      <w:r w:rsidRPr="00D734B7">
        <w:rPr>
          <w:color w:val="000000" w:themeColor="text1"/>
        </w:rPr>
        <w:lastRenderedPageBreak/>
        <w:t>Mr. Yee</w:t>
      </w:r>
    </w:p>
    <w:p w14:paraId="73E21ACB" w14:textId="32A9D869" w:rsidR="00144A19" w:rsidRPr="00D734B7" w:rsidRDefault="00144A19" w:rsidP="00144A19">
      <w:pPr>
        <w:rPr>
          <w:color w:val="000000" w:themeColor="text1"/>
        </w:rPr>
      </w:pPr>
      <w:r w:rsidRPr="00D734B7">
        <w:rPr>
          <w:color w:val="000000" w:themeColor="text1"/>
        </w:rPr>
        <w:t xml:space="preserve">Mr. Yee has not made any meals in the three-day observation period. His son is visiting and has made </w:t>
      </w:r>
      <w:proofErr w:type="gramStart"/>
      <w:r w:rsidRPr="00D734B7">
        <w:rPr>
          <w:color w:val="000000" w:themeColor="text1"/>
        </w:rPr>
        <w:t>all of</w:t>
      </w:r>
      <w:proofErr w:type="gramEnd"/>
      <w:r w:rsidRPr="00D734B7">
        <w:rPr>
          <w:color w:val="000000" w:themeColor="text1"/>
        </w:rPr>
        <w:t xml:space="preserve"> the meals as a gift to his dad. Normally, Mr. Yee cooks for himself, but it was nice to get a break.</w:t>
      </w:r>
    </w:p>
    <w:p w14:paraId="3B2169FE" w14:textId="5B175779" w:rsidR="00144A19" w:rsidRPr="00D734B7" w:rsidRDefault="00144A19" w:rsidP="00144A19">
      <w:pPr>
        <w:rPr>
          <w:color w:val="000000" w:themeColor="text1"/>
        </w:rPr>
      </w:pPr>
      <w:r w:rsidRPr="00D734B7">
        <w:rPr>
          <w:color w:val="000000" w:themeColor="text1"/>
        </w:rPr>
        <w:t xml:space="preserve">In performance, the code would be </w:t>
      </w:r>
      <w:r w:rsidR="00197D75" w:rsidRPr="00D734B7">
        <w:rPr>
          <w:color w:val="000000" w:themeColor="text1"/>
        </w:rPr>
        <w:t>“</w:t>
      </w:r>
      <w:r w:rsidR="0098124B" w:rsidRPr="00D734B7">
        <w:rPr>
          <w:color w:val="000000" w:themeColor="text1"/>
        </w:rPr>
        <w:t>6</w:t>
      </w:r>
      <w:r w:rsidR="00197D75" w:rsidRPr="00D734B7">
        <w:rPr>
          <w:color w:val="000000" w:themeColor="text1"/>
        </w:rPr>
        <w:t>”</w:t>
      </w:r>
      <w:r w:rsidR="0098124B" w:rsidRPr="00D734B7">
        <w:rPr>
          <w:color w:val="000000" w:themeColor="text1"/>
        </w:rPr>
        <w:t xml:space="preserve"> </w:t>
      </w:r>
      <w:r w:rsidRPr="00D734B7">
        <w:rPr>
          <w:color w:val="000000" w:themeColor="text1"/>
        </w:rPr>
        <w:t>or total independence.</w:t>
      </w:r>
    </w:p>
    <w:p w14:paraId="7B12316F" w14:textId="6F89F9D8" w:rsidR="00144A19" w:rsidRPr="00D734B7" w:rsidRDefault="00144A19" w:rsidP="00144A19">
      <w:pPr>
        <w:rPr>
          <w:color w:val="000000" w:themeColor="text1"/>
        </w:rPr>
      </w:pPr>
      <w:r w:rsidRPr="00D734B7">
        <w:rPr>
          <w:color w:val="000000" w:themeColor="text1"/>
        </w:rPr>
        <w:t xml:space="preserve">In capacity, the code would be </w:t>
      </w:r>
      <w:r w:rsidR="00197D75" w:rsidRPr="00D734B7">
        <w:rPr>
          <w:color w:val="000000" w:themeColor="text1"/>
        </w:rPr>
        <w:t>“</w:t>
      </w:r>
      <w:r w:rsidR="0098124B" w:rsidRPr="00D734B7">
        <w:rPr>
          <w:color w:val="000000" w:themeColor="text1"/>
        </w:rPr>
        <w:t>0</w:t>
      </w:r>
      <w:r w:rsidR="00197D75" w:rsidRPr="00D734B7">
        <w:rPr>
          <w:color w:val="000000" w:themeColor="text1"/>
        </w:rPr>
        <w:t>”</w:t>
      </w:r>
      <w:r w:rsidR="0098124B" w:rsidRPr="00D734B7">
        <w:rPr>
          <w:color w:val="000000" w:themeColor="text1"/>
        </w:rPr>
        <w:t xml:space="preserve"> </w:t>
      </w:r>
      <w:r w:rsidRPr="00D734B7">
        <w:rPr>
          <w:color w:val="000000" w:themeColor="text1"/>
        </w:rPr>
        <w:t>for independent.</w:t>
      </w:r>
    </w:p>
    <w:p w14:paraId="10723A4A" w14:textId="7A9FB19D" w:rsidR="00A615A0" w:rsidRPr="00D734B7" w:rsidRDefault="00144A19" w:rsidP="00144A19">
      <w:pPr>
        <w:rPr>
          <w:color w:val="000000" w:themeColor="text1"/>
        </w:rPr>
      </w:pPr>
      <w:r w:rsidRPr="00D734B7">
        <w:rPr>
          <w:color w:val="000000" w:themeColor="text1"/>
        </w:rPr>
        <w:t>Mr. Yee will resume complete independence when his son goes home.</w:t>
      </w:r>
    </w:p>
    <w:p w14:paraId="0932D5C5" w14:textId="2BA81E2D" w:rsidR="00A615A0" w:rsidRPr="00D734B7" w:rsidRDefault="00E1768B" w:rsidP="00E6205B">
      <w:pPr>
        <w:pStyle w:val="Heading3"/>
        <w:rPr>
          <w:color w:val="000000" w:themeColor="text1"/>
        </w:rPr>
      </w:pPr>
      <w:bookmarkStart w:id="57" w:name="_Toc215931897"/>
      <w:r w:rsidRPr="00D734B7">
        <w:rPr>
          <w:color w:val="000000" w:themeColor="text1"/>
        </w:rPr>
        <w:t>Functional Status – Housework</w:t>
      </w:r>
      <w:bookmarkEnd w:id="57"/>
    </w:p>
    <w:p w14:paraId="64CB8FD7" w14:textId="79C047B8" w:rsidR="00E1768B" w:rsidRPr="00D734B7" w:rsidRDefault="00E1768B" w:rsidP="00945CAA">
      <w:pPr>
        <w:rPr>
          <w:color w:val="000000" w:themeColor="text1"/>
        </w:rPr>
      </w:pPr>
      <w:r w:rsidRPr="00D734B7">
        <w:rPr>
          <w:color w:val="000000" w:themeColor="text1"/>
        </w:rPr>
        <w:t>The next IADL is ordinary housework. The ordinary housework category refers to how ordinary work around the house is performed. Examples of ordinary work include doing the dishes, dusting, making the beds, tidying up the house, and laundry. Cleaning out gutters, mowing lawns</w:t>
      </w:r>
      <w:r w:rsidR="0098124B" w:rsidRPr="00D734B7">
        <w:rPr>
          <w:color w:val="000000" w:themeColor="text1"/>
        </w:rPr>
        <w:t>,</w:t>
      </w:r>
      <w:r w:rsidRPr="00D734B7">
        <w:rPr>
          <w:color w:val="000000" w:themeColor="text1"/>
        </w:rPr>
        <w:t xml:space="preserve"> and heavy cleaning such as steam</w:t>
      </w:r>
      <w:r w:rsidR="0098124B" w:rsidRPr="00D734B7">
        <w:rPr>
          <w:color w:val="000000" w:themeColor="text1"/>
        </w:rPr>
        <w:t>-</w:t>
      </w:r>
      <w:r w:rsidRPr="00D734B7">
        <w:rPr>
          <w:color w:val="000000" w:themeColor="text1"/>
        </w:rPr>
        <w:t>cleaning rugs are not considered ordinary housework. As with meal preparation, assessors and service coordinators will rate individuals based on both performance and capacity.</w:t>
      </w:r>
    </w:p>
    <w:p w14:paraId="0D2AFD8E" w14:textId="2F6B92CC" w:rsidR="00AE5F17" w:rsidRPr="00D734B7" w:rsidRDefault="00AE5F17" w:rsidP="00AE5F17">
      <w:pPr>
        <w:rPr>
          <w:color w:val="000000" w:themeColor="text1"/>
        </w:rPr>
      </w:pPr>
      <w:r w:rsidRPr="00D734B7">
        <w:rPr>
          <w:color w:val="000000" w:themeColor="text1"/>
        </w:rPr>
        <w:t>Let’s revisit Mr. Harris, Mrs. Green, and Mr. Yee.</w:t>
      </w:r>
    </w:p>
    <w:p w14:paraId="55B414F4" w14:textId="3C54E047" w:rsidR="00A615A0" w:rsidRPr="00D734B7" w:rsidRDefault="00E1768B" w:rsidP="00E6205B">
      <w:pPr>
        <w:pStyle w:val="Heading4"/>
        <w:rPr>
          <w:color w:val="000000" w:themeColor="text1"/>
        </w:rPr>
      </w:pPr>
      <w:r w:rsidRPr="00D734B7">
        <w:rPr>
          <w:color w:val="000000" w:themeColor="text1"/>
        </w:rPr>
        <w:t>Mr. Harris</w:t>
      </w:r>
    </w:p>
    <w:p w14:paraId="34BCB485" w14:textId="66F8982C" w:rsidR="00144A19" w:rsidRPr="00D734B7" w:rsidRDefault="00144A19" w:rsidP="00144A19">
      <w:pPr>
        <w:rPr>
          <w:color w:val="000000" w:themeColor="text1"/>
        </w:rPr>
      </w:pPr>
      <w:r w:rsidRPr="00D734B7">
        <w:rPr>
          <w:color w:val="000000" w:themeColor="text1"/>
        </w:rPr>
        <w:t>Mr. Harris has limited mobility due to inactivity, mild arthritis, and muscle degeneration.</w:t>
      </w:r>
    </w:p>
    <w:p w14:paraId="555A7300" w14:textId="4ECA8C19" w:rsidR="00144A19" w:rsidRPr="00D734B7" w:rsidRDefault="00144A19" w:rsidP="00144A19">
      <w:pPr>
        <w:rPr>
          <w:color w:val="000000" w:themeColor="text1"/>
        </w:rPr>
      </w:pPr>
      <w:r w:rsidRPr="00D734B7">
        <w:rPr>
          <w:color w:val="000000" w:themeColor="text1"/>
        </w:rPr>
        <w:t>The assessor notices crumbs and bits of crackers around Mr. Harris's favorite chair, noticeable dust on the dining table that he does not use, and some issues with the toilet. The kitchen counters are clean and clear because Mr. Harris can hold on to the counters if he gets dizzy or tired.</w:t>
      </w:r>
    </w:p>
    <w:p w14:paraId="70355B8D" w14:textId="5A952ACB" w:rsidR="00144A19" w:rsidRPr="00D734B7" w:rsidRDefault="00144A19" w:rsidP="00144A19">
      <w:pPr>
        <w:rPr>
          <w:color w:val="000000" w:themeColor="text1"/>
        </w:rPr>
      </w:pPr>
      <w:r w:rsidRPr="00D734B7">
        <w:rPr>
          <w:color w:val="000000" w:themeColor="text1"/>
        </w:rPr>
        <w:t>The assessor asks Mr. Harris about how much ordinary housework he has completed in the three-day observation period. Mr. Harris indicates that he has wiped the counters, wiped his place mats in the kitchen, and loaded dishes into his dishwasher. He has not used his vacuum cleaner or done any dusting in any of the other rooms of the house.</w:t>
      </w:r>
    </w:p>
    <w:p w14:paraId="65B9CE2D" w14:textId="72CB8734" w:rsidR="00144A19" w:rsidRPr="00D734B7" w:rsidRDefault="00144A19" w:rsidP="00144A19">
      <w:pPr>
        <w:rPr>
          <w:color w:val="000000" w:themeColor="text1"/>
        </w:rPr>
      </w:pPr>
      <w:r w:rsidRPr="00D734B7">
        <w:rPr>
          <w:color w:val="000000" w:themeColor="text1"/>
        </w:rPr>
        <w:t xml:space="preserve">In terms of performance, Mr. Harris would be scored at a </w:t>
      </w:r>
      <w:r w:rsidR="001E731F" w:rsidRPr="00D734B7">
        <w:rPr>
          <w:color w:val="000000" w:themeColor="text1"/>
        </w:rPr>
        <w:t>“</w:t>
      </w:r>
      <w:r w:rsidRPr="00D734B7">
        <w:rPr>
          <w:color w:val="000000" w:themeColor="text1"/>
        </w:rPr>
        <w:t>4” or “5.” He has done no laundry, no vacuuming, and no cleaning outside of the meal prep area. He has made the beds and has not created any clutter in his living area.</w:t>
      </w:r>
    </w:p>
    <w:p w14:paraId="1BD9E9A6" w14:textId="0CC0BE4E" w:rsidR="00144A19" w:rsidRPr="00D734B7" w:rsidRDefault="00144A19" w:rsidP="00144A19">
      <w:pPr>
        <w:rPr>
          <w:color w:val="000000" w:themeColor="text1"/>
        </w:rPr>
      </w:pPr>
      <w:r w:rsidRPr="00D734B7">
        <w:rPr>
          <w:color w:val="000000" w:themeColor="text1"/>
        </w:rPr>
        <w:t>Mr. Harris discloses that he no longer walks without a cane and does not think that he has the strength to push the vacuum cleaner through the high pile carpet. He also indicates that he does not have the balance or flexibility to clean the toilets effectively. Mr. Harris lacks the capacity to vacuum, dust, and clean toilets.</w:t>
      </w:r>
    </w:p>
    <w:p w14:paraId="7894B286" w14:textId="24FEDCF4" w:rsidR="00A615A0" w:rsidRPr="00D734B7" w:rsidRDefault="00144A19" w:rsidP="00144A19">
      <w:pPr>
        <w:rPr>
          <w:color w:val="000000" w:themeColor="text1"/>
        </w:rPr>
      </w:pPr>
      <w:r w:rsidRPr="00D734B7">
        <w:rPr>
          <w:color w:val="000000" w:themeColor="text1"/>
        </w:rPr>
        <w:lastRenderedPageBreak/>
        <w:t>His capacity score would also be a “4” or a “5”. The lack of activity in these areas is not due to others stepping in or a lack of knowledge or training. Mr. Harris cannot physically complete 50% of the ordinary housework.</w:t>
      </w:r>
    </w:p>
    <w:p w14:paraId="7B91AF5E" w14:textId="170F09DE" w:rsidR="00A615A0" w:rsidRPr="00D734B7" w:rsidRDefault="00E1768B" w:rsidP="00E6205B">
      <w:pPr>
        <w:pStyle w:val="Heading4"/>
        <w:rPr>
          <w:color w:val="000000" w:themeColor="text1"/>
        </w:rPr>
      </w:pPr>
      <w:r w:rsidRPr="00D734B7">
        <w:rPr>
          <w:color w:val="000000" w:themeColor="text1"/>
        </w:rPr>
        <w:t>Mrs. Green</w:t>
      </w:r>
    </w:p>
    <w:p w14:paraId="17989FE6" w14:textId="1685B1CD" w:rsidR="00AB1350" w:rsidRPr="00D734B7" w:rsidRDefault="00AB1350" w:rsidP="00AB1350">
      <w:pPr>
        <w:rPr>
          <w:color w:val="000000" w:themeColor="text1"/>
        </w:rPr>
      </w:pPr>
      <w:r w:rsidRPr="00D734B7">
        <w:rPr>
          <w:color w:val="000000" w:themeColor="text1"/>
        </w:rPr>
        <w:t>Mrs. Green has an in-unit laundry in her apartment. She also has wood flooring throughout the living area. She discloses that yesterday was laundry day and the day before was cleaning day.</w:t>
      </w:r>
    </w:p>
    <w:p w14:paraId="4FBF269B" w14:textId="3924E1C5" w:rsidR="00AB1350" w:rsidRPr="00D734B7" w:rsidRDefault="00AB1350" w:rsidP="00AB1350">
      <w:pPr>
        <w:rPr>
          <w:color w:val="000000" w:themeColor="text1"/>
        </w:rPr>
      </w:pPr>
      <w:r w:rsidRPr="00D734B7">
        <w:rPr>
          <w:color w:val="000000" w:themeColor="text1"/>
        </w:rPr>
        <w:t>Mrs. Green expresses frustration that her arthritis and limited grip strength makes it harder to mop the floors, clean the toilets, and do laundry. She does not feel like she is doing a good job.</w:t>
      </w:r>
    </w:p>
    <w:p w14:paraId="6828FEE6" w14:textId="2FBC3F08" w:rsidR="00AB1350" w:rsidRPr="00D734B7" w:rsidRDefault="00AB1350" w:rsidP="00AB1350">
      <w:pPr>
        <w:rPr>
          <w:color w:val="000000" w:themeColor="text1"/>
        </w:rPr>
      </w:pPr>
      <w:r w:rsidRPr="00D734B7">
        <w:rPr>
          <w:color w:val="000000" w:themeColor="text1"/>
        </w:rPr>
        <w:t>In addition, her daughter comes over to help her lift the laundry detergent to put it into the washer. Her daughter also helps her assemble cleaning materials because they are heavy.</w:t>
      </w:r>
    </w:p>
    <w:p w14:paraId="1004C3FC" w14:textId="77777777" w:rsidR="00AB1350" w:rsidRPr="00D734B7" w:rsidRDefault="00AB1350" w:rsidP="00AB1350">
      <w:pPr>
        <w:rPr>
          <w:color w:val="000000" w:themeColor="text1"/>
        </w:rPr>
      </w:pPr>
      <w:r w:rsidRPr="00D734B7">
        <w:rPr>
          <w:color w:val="000000" w:themeColor="text1"/>
        </w:rPr>
        <w:t>In terms of performance, Mrs. Green would be coded as a “1.” She needed setup help from her daughter to manage the heavier items, but she was able to complete the activities.</w:t>
      </w:r>
    </w:p>
    <w:p w14:paraId="11D4AA6B" w14:textId="4E52AFB3" w:rsidR="00AB1350" w:rsidRPr="00D734B7" w:rsidRDefault="00AB1350" w:rsidP="00AB1350">
      <w:pPr>
        <w:rPr>
          <w:color w:val="000000" w:themeColor="text1"/>
        </w:rPr>
      </w:pPr>
      <w:r w:rsidRPr="00D734B7">
        <w:rPr>
          <w:color w:val="000000" w:themeColor="text1"/>
        </w:rPr>
        <w:t>In terms of capacity, she may be coded as a “3” for limited assistance. Mrs. Green may require help on some occasions due to her waning strength and arthritis.</w:t>
      </w:r>
    </w:p>
    <w:p w14:paraId="1F01B08C" w14:textId="131E4947" w:rsidR="00A615A0" w:rsidRPr="00D734B7" w:rsidRDefault="00AB1350" w:rsidP="00AB1350">
      <w:pPr>
        <w:rPr>
          <w:color w:val="000000" w:themeColor="text1"/>
        </w:rPr>
      </w:pPr>
      <w:r w:rsidRPr="00D734B7">
        <w:rPr>
          <w:color w:val="000000" w:themeColor="text1"/>
        </w:rPr>
        <w:t xml:space="preserve">The service coordinator observes that there is still quite a bit of dust in corners, and that while the toilets are clean, the area behind them is not. In this case, the assessor is making a judgment call that to fully clean her living space, she may need limited assistance </w:t>
      </w:r>
      <w:proofErr w:type="gramStart"/>
      <w:r w:rsidRPr="00D734B7">
        <w:rPr>
          <w:color w:val="000000" w:themeColor="text1"/>
        </w:rPr>
        <w:t>on a monthly basis</w:t>
      </w:r>
      <w:proofErr w:type="gramEnd"/>
      <w:r w:rsidRPr="00D734B7">
        <w:rPr>
          <w:color w:val="000000" w:themeColor="text1"/>
        </w:rPr>
        <w:t xml:space="preserve"> to do a deeper </w:t>
      </w:r>
      <w:proofErr w:type="gramStart"/>
      <w:r w:rsidRPr="00D734B7">
        <w:rPr>
          <w:color w:val="000000" w:themeColor="text1"/>
        </w:rPr>
        <w:t>clean</w:t>
      </w:r>
      <w:proofErr w:type="gramEnd"/>
      <w:r w:rsidRPr="00D734B7">
        <w:rPr>
          <w:color w:val="000000" w:themeColor="text1"/>
        </w:rPr>
        <w:t>.</w:t>
      </w:r>
    </w:p>
    <w:p w14:paraId="1EDEA707" w14:textId="3AE05273" w:rsidR="00A615A0" w:rsidRPr="00D734B7" w:rsidRDefault="00E1768B" w:rsidP="00E6205B">
      <w:pPr>
        <w:pStyle w:val="Heading4"/>
        <w:rPr>
          <w:color w:val="000000" w:themeColor="text1"/>
        </w:rPr>
      </w:pPr>
      <w:r w:rsidRPr="00D734B7">
        <w:rPr>
          <w:color w:val="000000" w:themeColor="text1"/>
        </w:rPr>
        <w:t>Mr. Yee</w:t>
      </w:r>
    </w:p>
    <w:p w14:paraId="2918F890" w14:textId="6BDEF799" w:rsidR="00AB1350" w:rsidRPr="00D734B7" w:rsidRDefault="00AB1350" w:rsidP="00AB1350">
      <w:pPr>
        <w:rPr>
          <w:color w:val="000000" w:themeColor="text1"/>
        </w:rPr>
      </w:pPr>
      <w:r w:rsidRPr="00D734B7">
        <w:rPr>
          <w:color w:val="000000" w:themeColor="text1"/>
        </w:rPr>
        <w:t>Mr. Yee uses a wheelchair. During the assessment, he fell when his son was there cooking and cleaning for him. Therefore, Mr. Yee would be scored as a “6” for total dependence.</w:t>
      </w:r>
    </w:p>
    <w:p w14:paraId="494BB503" w14:textId="79491271" w:rsidR="00AB1350" w:rsidRPr="00D734B7" w:rsidRDefault="00AB1350" w:rsidP="00AB1350">
      <w:pPr>
        <w:rPr>
          <w:color w:val="000000" w:themeColor="text1"/>
        </w:rPr>
      </w:pPr>
      <w:r w:rsidRPr="00D734B7">
        <w:rPr>
          <w:color w:val="000000" w:themeColor="text1"/>
        </w:rPr>
        <w:t xml:space="preserve">Other people performed the entire activity during the three-day observation period. The assessor will need to ask a few more questions </w:t>
      </w:r>
      <w:proofErr w:type="gramStart"/>
      <w:r w:rsidRPr="00D734B7">
        <w:rPr>
          <w:color w:val="000000" w:themeColor="text1"/>
        </w:rPr>
        <w:t>in order to</w:t>
      </w:r>
      <w:proofErr w:type="gramEnd"/>
      <w:r w:rsidRPr="00D734B7">
        <w:rPr>
          <w:color w:val="000000" w:themeColor="text1"/>
        </w:rPr>
        <w:t xml:space="preserve"> accurately assess his capacity.</w:t>
      </w:r>
    </w:p>
    <w:p w14:paraId="63372274" w14:textId="77777777" w:rsidR="00AB1350" w:rsidRPr="00D734B7" w:rsidRDefault="00AB1350" w:rsidP="00AB1350">
      <w:pPr>
        <w:rPr>
          <w:color w:val="000000" w:themeColor="text1"/>
        </w:rPr>
      </w:pPr>
      <w:r w:rsidRPr="00D734B7">
        <w:rPr>
          <w:color w:val="000000" w:themeColor="text1"/>
        </w:rPr>
        <w:t xml:space="preserve">In conversation, the assessor discovers that Mr. Yee cannot do his own laundry due to the placement of the unit and he has difficulty vacuuming. He does have dusting and mopping equipment, but he cannot reach </w:t>
      </w:r>
      <w:proofErr w:type="gramStart"/>
      <w:r w:rsidRPr="00D734B7">
        <w:rPr>
          <w:color w:val="000000" w:themeColor="text1"/>
        </w:rPr>
        <w:t>all of</w:t>
      </w:r>
      <w:proofErr w:type="gramEnd"/>
      <w:r w:rsidRPr="00D734B7">
        <w:rPr>
          <w:color w:val="000000" w:themeColor="text1"/>
        </w:rPr>
        <w:t xml:space="preserve"> the places he would like to clean.</w:t>
      </w:r>
    </w:p>
    <w:p w14:paraId="6AA40C3B" w14:textId="076288C3" w:rsidR="00AB1350" w:rsidRPr="00D734B7" w:rsidRDefault="00AB1350" w:rsidP="00AB1350">
      <w:pPr>
        <w:rPr>
          <w:color w:val="000000" w:themeColor="text1"/>
        </w:rPr>
      </w:pPr>
      <w:r w:rsidRPr="00D734B7">
        <w:rPr>
          <w:color w:val="000000" w:themeColor="text1"/>
        </w:rPr>
        <w:t>Mr. Yee's capacity could be coded as a “5” for maximal assistance. Depending on Mr. Yee's upper</w:t>
      </w:r>
      <w:r w:rsidR="003450CD" w:rsidRPr="00D734B7">
        <w:rPr>
          <w:color w:val="000000" w:themeColor="text1"/>
        </w:rPr>
        <w:t>-</w:t>
      </w:r>
      <w:r w:rsidRPr="00D734B7">
        <w:rPr>
          <w:color w:val="000000" w:themeColor="text1"/>
        </w:rPr>
        <w:t>body mobility and the possibility of providing him with appropriate assistive devices, Mr. Yee could move toward more independence in ordinary housework.</w:t>
      </w:r>
    </w:p>
    <w:p w14:paraId="5EBA8BE9" w14:textId="7B8B072D" w:rsidR="00A615A0" w:rsidRPr="00D734B7" w:rsidRDefault="00AB1350" w:rsidP="00AB1350">
      <w:pPr>
        <w:rPr>
          <w:color w:val="000000" w:themeColor="text1"/>
        </w:rPr>
      </w:pPr>
      <w:r w:rsidRPr="00D734B7">
        <w:rPr>
          <w:color w:val="000000" w:themeColor="text1"/>
        </w:rPr>
        <w:lastRenderedPageBreak/>
        <w:t>However, due to the current layout of his living quarters, he would need maximal assistance to maintain a safe, clean environment.</w:t>
      </w:r>
    </w:p>
    <w:p w14:paraId="359657B7" w14:textId="7761ADC8" w:rsidR="00A615A0" w:rsidRPr="00D734B7" w:rsidRDefault="00E1768B" w:rsidP="00E6205B">
      <w:pPr>
        <w:pStyle w:val="Heading3"/>
        <w:rPr>
          <w:color w:val="000000" w:themeColor="text1"/>
        </w:rPr>
      </w:pPr>
      <w:bookmarkStart w:id="58" w:name="_Toc215931898"/>
      <w:r w:rsidRPr="00D734B7">
        <w:rPr>
          <w:color w:val="000000" w:themeColor="text1"/>
        </w:rPr>
        <w:t>Functional Status – Finances</w:t>
      </w:r>
      <w:bookmarkEnd w:id="58"/>
    </w:p>
    <w:p w14:paraId="0A2FDCD8" w14:textId="643C6FD3" w:rsidR="00E1768B" w:rsidRPr="00D734B7" w:rsidRDefault="00E1768B" w:rsidP="00945CAA">
      <w:pPr>
        <w:rPr>
          <w:color w:val="000000" w:themeColor="text1"/>
        </w:rPr>
      </w:pPr>
      <w:r w:rsidRPr="00D734B7">
        <w:rPr>
          <w:color w:val="000000" w:themeColor="text1"/>
        </w:rPr>
        <w:t>The category of managing finances refers to how bills are paid, checkbooks are balanced, household expenses are budgeted, and credit card accounts are monitored. In terms of performance, a coding of “8” for activity did not occur may</w:t>
      </w:r>
      <w:r w:rsidR="003450CD" w:rsidRPr="00D734B7">
        <w:rPr>
          <w:color w:val="000000" w:themeColor="text1"/>
        </w:rPr>
        <w:t xml:space="preserve"> </w:t>
      </w:r>
      <w:r w:rsidRPr="00D734B7">
        <w:rPr>
          <w:color w:val="000000" w:themeColor="text1"/>
        </w:rPr>
        <w:t xml:space="preserve">be </w:t>
      </w:r>
      <w:proofErr w:type="gramStart"/>
      <w:r w:rsidRPr="00D734B7">
        <w:rPr>
          <w:color w:val="000000" w:themeColor="text1"/>
        </w:rPr>
        <w:t>fairly common</w:t>
      </w:r>
      <w:proofErr w:type="gramEnd"/>
      <w:r w:rsidRPr="00D734B7">
        <w:rPr>
          <w:color w:val="000000" w:themeColor="text1"/>
        </w:rPr>
        <w:t xml:space="preserve"> depending on when the assessor meets with the person.</w:t>
      </w:r>
    </w:p>
    <w:p w14:paraId="592F5946" w14:textId="77777777" w:rsidR="00AE5F17" w:rsidRPr="00D734B7" w:rsidRDefault="00AE5F17" w:rsidP="00AE5F17">
      <w:pPr>
        <w:rPr>
          <w:color w:val="000000" w:themeColor="text1"/>
        </w:rPr>
      </w:pPr>
      <w:r w:rsidRPr="00D734B7">
        <w:rPr>
          <w:color w:val="000000" w:themeColor="text1"/>
        </w:rPr>
        <w:t>Let’s revisit Mr. Harris, Mrs. Green, and Mr. Yee.</w:t>
      </w:r>
    </w:p>
    <w:p w14:paraId="7D450CA9" w14:textId="62995026" w:rsidR="00A615A0" w:rsidRPr="00D734B7" w:rsidRDefault="00E1768B" w:rsidP="00E6205B">
      <w:pPr>
        <w:pStyle w:val="Heading4"/>
        <w:rPr>
          <w:color w:val="000000" w:themeColor="text1"/>
        </w:rPr>
      </w:pPr>
      <w:r w:rsidRPr="00D734B7">
        <w:rPr>
          <w:color w:val="000000" w:themeColor="text1"/>
        </w:rPr>
        <w:t>Mr. Harris</w:t>
      </w:r>
    </w:p>
    <w:p w14:paraId="516004CC" w14:textId="57FC7327" w:rsidR="00283350" w:rsidRPr="00D734B7" w:rsidRDefault="00283350" w:rsidP="00283350">
      <w:pPr>
        <w:rPr>
          <w:color w:val="000000" w:themeColor="text1"/>
        </w:rPr>
      </w:pPr>
      <w:r w:rsidRPr="00D734B7">
        <w:rPr>
          <w:color w:val="000000" w:themeColor="text1"/>
        </w:rPr>
        <w:t>Mr. Harris will not let anyone else take care of his money. He takes great pride in the fact that he has been frugal and wise in managing his household budget over the years.</w:t>
      </w:r>
    </w:p>
    <w:p w14:paraId="31C28156" w14:textId="37935357" w:rsidR="00283350" w:rsidRPr="00D734B7" w:rsidRDefault="00283350" w:rsidP="00283350">
      <w:pPr>
        <w:rPr>
          <w:color w:val="000000" w:themeColor="text1"/>
        </w:rPr>
      </w:pPr>
      <w:r w:rsidRPr="00D734B7">
        <w:rPr>
          <w:color w:val="000000" w:themeColor="text1"/>
        </w:rPr>
        <w:t>He grew up during the Depression and has experienced food insecurity and anxiety.</w:t>
      </w:r>
    </w:p>
    <w:p w14:paraId="2BEB11A7" w14:textId="678CADCA" w:rsidR="00283350" w:rsidRPr="00D734B7" w:rsidRDefault="00283350" w:rsidP="00283350">
      <w:pPr>
        <w:rPr>
          <w:color w:val="000000" w:themeColor="text1"/>
        </w:rPr>
      </w:pPr>
      <w:r w:rsidRPr="00D734B7">
        <w:rPr>
          <w:color w:val="000000" w:themeColor="text1"/>
        </w:rPr>
        <w:t>You meet with Mr. Harris on the 15th of the month. He writes checks and balances his checkbook on the 28th of every month.</w:t>
      </w:r>
    </w:p>
    <w:p w14:paraId="4A65E6BF" w14:textId="77777777" w:rsidR="00283350" w:rsidRPr="00D734B7" w:rsidRDefault="00283350" w:rsidP="00283350">
      <w:pPr>
        <w:rPr>
          <w:color w:val="000000" w:themeColor="text1"/>
        </w:rPr>
      </w:pPr>
      <w:r w:rsidRPr="00D734B7">
        <w:rPr>
          <w:color w:val="000000" w:themeColor="text1"/>
        </w:rPr>
        <w:t>In terms of performance, the coding would be “8” for activity did not occur.</w:t>
      </w:r>
    </w:p>
    <w:p w14:paraId="5D03A5C8" w14:textId="2A650C07" w:rsidR="00A615A0" w:rsidRPr="00D734B7" w:rsidRDefault="00283350" w:rsidP="00283350">
      <w:pPr>
        <w:rPr>
          <w:color w:val="000000" w:themeColor="text1"/>
        </w:rPr>
      </w:pPr>
      <w:r w:rsidRPr="00D734B7">
        <w:rPr>
          <w:color w:val="000000" w:themeColor="text1"/>
        </w:rPr>
        <w:t>In terms of capacity, the score would be “0” because Mr. Harris pays his own bills, balances his own checkbook, manages his budget, and monitors his credit card and bank accounts.</w:t>
      </w:r>
    </w:p>
    <w:p w14:paraId="6FFBC331" w14:textId="0D3B831B" w:rsidR="00A615A0" w:rsidRPr="00D734B7" w:rsidRDefault="00E1768B" w:rsidP="00E6205B">
      <w:pPr>
        <w:pStyle w:val="Heading4"/>
        <w:rPr>
          <w:color w:val="000000" w:themeColor="text1"/>
        </w:rPr>
      </w:pPr>
      <w:r w:rsidRPr="00D734B7">
        <w:rPr>
          <w:color w:val="000000" w:themeColor="text1"/>
        </w:rPr>
        <w:t>Mrs. Green</w:t>
      </w:r>
    </w:p>
    <w:p w14:paraId="4781EA67" w14:textId="67D4FFAF" w:rsidR="00283350" w:rsidRPr="00D734B7" w:rsidRDefault="00283350" w:rsidP="00283350">
      <w:pPr>
        <w:rPr>
          <w:color w:val="000000" w:themeColor="text1"/>
        </w:rPr>
      </w:pPr>
      <w:r w:rsidRPr="00D734B7">
        <w:rPr>
          <w:color w:val="000000" w:themeColor="text1"/>
        </w:rPr>
        <w:t xml:space="preserve">Mrs. Green’s late husband managed </w:t>
      </w:r>
      <w:proofErr w:type="gramStart"/>
      <w:r w:rsidRPr="00D734B7">
        <w:rPr>
          <w:color w:val="000000" w:themeColor="text1"/>
        </w:rPr>
        <w:t>all of</w:t>
      </w:r>
      <w:proofErr w:type="gramEnd"/>
      <w:r w:rsidRPr="00D734B7">
        <w:rPr>
          <w:color w:val="000000" w:themeColor="text1"/>
        </w:rPr>
        <w:t xml:space="preserve"> the finances. Since his death two years ago, her daughter comes over once a month to pay bills, balance the checkbook, and check the credit card accounts. Her daughter also helped her set up a budget so that Mrs. Green can stay within her limited fixed income.</w:t>
      </w:r>
    </w:p>
    <w:p w14:paraId="4B691AFC" w14:textId="2FF6B25E" w:rsidR="00283350" w:rsidRPr="00D734B7" w:rsidRDefault="00283350" w:rsidP="00283350">
      <w:pPr>
        <w:rPr>
          <w:color w:val="000000" w:themeColor="text1"/>
        </w:rPr>
      </w:pPr>
      <w:r w:rsidRPr="00D734B7">
        <w:rPr>
          <w:color w:val="000000" w:themeColor="text1"/>
        </w:rPr>
        <w:t>You meet with Mrs. Green on the 30th of the month. Her daughter had visited her yesterday and paid the bills, balanced the checkbook, and checked all accounts and expenditures against her mother's budget.</w:t>
      </w:r>
    </w:p>
    <w:p w14:paraId="34F6E9F4" w14:textId="1BD52EEE" w:rsidR="00283350" w:rsidRPr="00D734B7" w:rsidRDefault="00283350" w:rsidP="00283350">
      <w:pPr>
        <w:rPr>
          <w:color w:val="000000" w:themeColor="text1"/>
        </w:rPr>
      </w:pPr>
      <w:r w:rsidRPr="00D734B7">
        <w:rPr>
          <w:color w:val="000000" w:themeColor="text1"/>
        </w:rPr>
        <w:t xml:space="preserve">Mrs. Green appreciates her daughter doing this, but </w:t>
      </w:r>
      <w:r w:rsidR="003450CD" w:rsidRPr="00D734B7">
        <w:rPr>
          <w:color w:val="000000" w:themeColor="text1"/>
        </w:rPr>
        <w:t>she</w:t>
      </w:r>
      <w:r w:rsidR="00E97F6C" w:rsidRPr="00D734B7">
        <w:rPr>
          <w:color w:val="000000" w:themeColor="text1"/>
        </w:rPr>
        <w:t xml:space="preserve"> is</w:t>
      </w:r>
      <w:r w:rsidRPr="00D734B7">
        <w:rPr>
          <w:color w:val="000000" w:themeColor="text1"/>
        </w:rPr>
        <w:t xml:space="preserve"> afraid that she won't be able to pay bills if for some reason her daughter is delayed or incapacitated.</w:t>
      </w:r>
    </w:p>
    <w:p w14:paraId="09714AB2" w14:textId="2DDEF8DA" w:rsidR="00283350" w:rsidRPr="00D734B7" w:rsidRDefault="00283350" w:rsidP="00283350">
      <w:pPr>
        <w:rPr>
          <w:color w:val="000000" w:themeColor="text1"/>
        </w:rPr>
      </w:pPr>
      <w:r w:rsidRPr="00D734B7">
        <w:rPr>
          <w:color w:val="000000" w:themeColor="text1"/>
        </w:rPr>
        <w:t xml:space="preserve">Mrs. Green would be coded as a </w:t>
      </w:r>
      <w:r w:rsidR="00156530" w:rsidRPr="00D734B7">
        <w:rPr>
          <w:color w:val="000000" w:themeColor="text1"/>
        </w:rPr>
        <w:t>“</w:t>
      </w:r>
      <w:r w:rsidRPr="00D734B7">
        <w:rPr>
          <w:color w:val="000000" w:themeColor="text1"/>
        </w:rPr>
        <w:t>6</w:t>
      </w:r>
      <w:r w:rsidR="00156530" w:rsidRPr="00D734B7">
        <w:rPr>
          <w:color w:val="000000" w:themeColor="text1"/>
        </w:rPr>
        <w:t>”</w:t>
      </w:r>
      <w:r w:rsidRPr="00D734B7">
        <w:rPr>
          <w:color w:val="000000" w:themeColor="text1"/>
        </w:rPr>
        <w:t xml:space="preserve"> in terms of performance. In the three-day observation period, her daughter did everything for her.</w:t>
      </w:r>
    </w:p>
    <w:p w14:paraId="13047E76" w14:textId="3C64C8AD" w:rsidR="00283350" w:rsidRPr="00D734B7" w:rsidRDefault="00283350" w:rsidP="00283350">
      <w:pPr>
        <w:rPr>
          <w:color w:val="000000" w:themeColor="text1"/>
        </w:rPr>
      </w:pPr>
      <w:r w:rsidRPr="00D734B7">
        <w:rPr>
          <w:color w:val="000000" w:themeColor="text1"/>
        </w:rPr>
        <w:t>In terms of capacity, you talk with Mrs. Green and her daughter about managing finances. Her daughter is concerned that</w:t>
      </w:r>
      <w:r w:rsidR="003450CD" w:rsidRPr="00D734B7">
        <w:rPr>
          <w:color w:val="000000" w:themeColor="text1"/>
        </w:rPr>
        <w:t>,</w:t>
      </w:r>
      <w:r w:rsidRPr="00D734B7">
        <w:rPr>
          <w:color w:val="000000" w:themeColor="text1"/>
        </w:rPr>
        <w:t xml:space="preserve"> because Mrs. Green has never done this and </w:t>
      </w:r>
      <w:r w:rsidRPr="00D734B7">
        <w:rPr>
          <w:color w:val="000000" w:themeColor="text1"/>
        </w:rPr>
        <w:lastRenderedPageBreak/>
        <w:t>because her mom is becoming more forgetful, her mom will fail to pay bills or not notice if one of her accounts was compromised.</w:t>
      </w:r>
    </w:p>
    <w:p w14:paraId="3B6470D0" w14:textId="618E35AC" w:rsidR="00283350" w:rsidRPr="00D734B7" w:rsidRDefault="00283350" w:rsidP="00283350">
      <w:pPr>
        <w:rPr>
          <w:color w:val="000000" w:themeColor="text1"/>
        </w:rPr>
      </w:pPr>
      <w:r w:rsidRPr="00D734B7">
        <w:rPr>
          <w:color w:val="000000" w:themeColor="text1"/>
        </w:rPr>
        <w:t>Mrs. Green is concerned that with her daughter doing everything, things could fall through the cracks if her daughter was delayed or incapacitated. Mrs. Green is concerned that there is no backup. Mrs. Green exhibits no intellectual disability, but she was assessed with difficulties in memory earlier. Her capacity could be coded as a “2” as a starting point.</w:t>
      </w:r>
    </w:p>
    <w:p w14:paraId="287C3154" w14:textId="57BAEC40" w:rsidR="00A615A0" w:rsidRPr="00D734B7" w:rsidRDefault="00283350" w:rsidP="00283350">
      <w:pPr>
        <w:rPr>
          <w:color w:val="000000" w:themeColor="text1"/>
        </w:rPr>
      </w:pPr>
      <w:r w:rsidRPr="00D734B7">
        <w:rPr>
          <w:color w:val="000000" w:themeColor="text1"/>
        </w:rPr>
        <w:t>Oversight is included in a coding of “2.” In talking with Mrs. Green and her daughter, both can be satisfied if Mrs. Green learns how to manage her own finances and permits her daughter to supervise her work and double-check accounts and budgets. Comments should include that oversight would be revisited and reported to the service coordinator if Mrs. Green cannot complete the tasks moving forward.</w:t>
      </w:r>
    </w:p>
    <w:p w14:paraId="3F7D272D" w14:textId="3F537DF9" w:rsidR="00A615A0" w:rsidRPr="00D734B7" w:rsidRDefault="00E1768B" w:rsidP="00E6205B">
      <w:pPr>
        <w:pStyle w:val="Heading4"/>
        <w:rPr>
          <w:color w:val="000000" w:themeColor="text1"/>
        </w:rPr>
      </w:pPr>
      <w:r w:rsidRPr="00D734B7">
        <w:rPr>
          <w:color w:val="000000" w:themeColor="text1"/>
        </w:rPr>
        <w:t>Mr. Yee</w:t>
      </w:r>
    </w:p>
    <w:p w14:paraId="2171826C" w14:textId="2F027028" w:rsidR="00A702AB" w:rsidRPr="00D734B7" w:rsidRDefault="00A702AB" w:rsidP="00A702AB">
      <w:pPr>
        <w:rPr>
          <w:color w:val="000000" w:themeColor="text1"/>
        </w:rPr>
      </w:pPr>
      <w:r w:rsidRPr="00D734B7">
        <w:rPr>
          <w:color w:val="000000" w:themeColor="text1"/>
        </w:rPr>
        <w:t xml:space="preserve">Mrs. Yee handled </w:t>
      </w:r>
      <w:proofErr w:type="gramStart"/>
      <w:r w:rsidRPr="00D734B7">
        <w:rPr>
          <w:color w:val="000000" w:themeColor="text1"/>
        </w:rPr>
        <w:t>all of</w:t>
      </w:r>
      <w:proofErr w:type="gramEnd"/>
      <w:r w:rsidRPr="00D734B7">
        <w:rPr>
          <w:color w:val="000000" w:themeColor="text1"/>
        </w:rPr>
        <w:t xml:space="preserve"> the finances during her marriage. When she became ill, she taught Mr. Yee to budget and pay bills. She did not review balancing the checkbook and monitoring accounts.</w:t>
      </w:r>
    </w:p>
    <w:p w14:paraId="4F81334B" w14:textId="77777777" w:rsidR="00A702AB" w:rsidRPr="00D734B7" w:rsidRDefault="00A702AB" w:rsidP="00A702AB">
      <w:pPr>
        <w:rPr>
          <w:color w:val="000000" w:themeColor="text1"/>
        </w:rPr>
      </w:pPr>
      <w:r w:rsidRPr="00D734B7">
        <w:rPr>
          <w:color w:val="000000" w:themeColor="text1"/>
        </w:rPr>
        <w:t>The service coordinator happened to meet Mr. Yee the day after he did his finances. Mr. Yee indicated that he sent checks for his rent and utilities.</w:t>
      </w:r>
    </w:p>
    <w:p w14:paraId="60A07731" w14:textId="0944C66C" w:rsidR="00A702AB" w:rsidRPr="00D734B7" w:rsidRDefault="00A702AB" w:rsidP="00A702AB">
      <w:pPr>
        <w:rPr>
          <w:color w:val="000000" w:themeColor="text1"/>
        </w:rPr>
      </w:pPr>
      <w:r w:rsidRPr="00D734B7">
        <w:rPr>
          <w:color w:val="000000" w:themeColor="text1"/>
        </w:rPr>
        <w:t xml:space="preserve">His son </w:t>
      </w:r>
      <w:proofErr w:type="gramStart"/>
      <w:r w:rsidRPr="00D734B7">
        <w:rPr>
          <w:color w:val="000000" w:themeColor="text1"/>
        </w:rPr>
        <w:t>took a look</w:t>
      </w:r>
      <w:proofErr w:type="gramEnd"/>
      <w:r w:rsidRPr="00D734B7">
        <w:rPr>
          <w:color w:val="000000" w:themeColor="text1"/>
        </w:rPr>
        <w:t xml:space="preserve"> at his checkbook and balanced it </w:t>
      </w:r>
      <w:proofErr w:type="gramStart"/>
      <w:r w:rsidRPr="00D734B7">
        <w:rPr>
          <w:color w:val="000000" w:themeColor="text1"/>
        </w:rPr>
        <w:t>for</w:t>
      </w:r>
      <w:proofErr w:type="gramEnd"/>
      <w:r w:rsidRPr="00D734B7">
        <w:rPr>
          <w:color w:val="000000" w:themeColor="text1"/>
        </w:rPr>
        <w:t xml:space="preserve"> him. His son also helped him use online banking tools to monitor his account. His son regularly speaks to him about the dangers of financial crimes and how easy it is for perpetrators to seem legitimate.</w:t>
      </w:r>
    </w:p>
    <w:p w14:paraId="10CD336A" w14:textId="157DC9BD" w:rsidR="00A702AB" w:rsidRPr="00D734B7" w:rsidRDefault="00A702AB" w:rsidP="00A702AB">
      <w:pPr>
        <w:rPr>
          <w:color w:val="000000" w:themeColor="text1"/>
        </w:rPr>
      </w:pPr>
      <w:r w:rsidRPr="00D734B7">
        <w:rPr>
          <w:color w:val="000000" w:themeColor="text1"/>
        </w:rPr>
        <w:t xml:space="preserve">In terms of performance, the code would be </w:t>
      </w:r>
      <w:r w:rsidR="005C1855" w:rsidRPr="00D734B7">
        <w:rPr>
          <w:color w:val="000000" w:themeColor="text1"/>
        </w:rPr>
        <w:t>“</w:t>
      </w:r>
      <w:r w:rsidR="003450CD" w:rsidRPr="00D734B7">
        <w:rPr>
          <w:color w:val="000000" w:themeColor="text1"/>
        </w:rPr>
        <w:t>4</w:t>
      </w:r>
      <w:r w:rsidRPr="00D734B7">
        <w:rPr>
          <w:color w:val="000000" w:themeColor="text1"/>
        </w:rPr>
        <w:t>.</w:t>
      </w:r>
      <w:r w:rsidR="005C1855" w:rsidRPr="00D734B7">
        <w:rPr>
          <w:color w:val="000000" w:themeColor="text1"/>
        </w:rPr>
        <w:t>”</w:t>
      </w:r>
      <w:r w:rsidRPr="00D734B7">
        <w:rPr>
          <w:color w:val="000000" w:themeColor="text1"/>
        </w:rPr>
        <w:t xml:space="preserve"> Mr. Yee's son provided extensive assistance in terms of how to balance a checkbook and how to monitor accounts. That is 50% of the definition of managing finances. Mr. Yee only paid his bills.</w:t>
      </w:r>
    </w:p>
    <w:p w14:paraId="724E007F" w14:textId="66698AF8" w:rsidR="00A702AB" w:rsidRPr="00D734B7" w:rsidRDefault="00A702AB" w:rsidP="00A702AB">
      <w:pPr>
        <w:rPr>
          <w:color w:val="000000" w:themeColor="text1"/>
        </w:rPr>
      </w:pPr>
      <w:r w:rsidRPr="00D734B7">
        <w:rPr>
          <w:color w:val="000000" w:themeColor="text1"/>
        </w:rPr>
        <w:t>In terms of capacity, it would depend on training and using the technology. In conversation with Mr. Yee and his son, both seem confident that with more training and support, Mr. Yee could learn to use banking tools to balance his checkbook, build a budget, and monitor accounts.</w:t>
      </w:r>
    </w:p>
    <w:p w14:paraId="0B13EFFA" w14:textId="77777777" w:rsidR="00A702AB" w:rsidRPr="00D734B7" w:rsidRDefault="00A702AB" w:rsidP="00A702AB">
      <w:pPr>
        <w:rPr>
          <w:color w:val="000000" w:themeColor="text1"/>
        </w:rPr>
      </w:pPr>
      <w:r w:rsidRPr="00D734B7">
        <w:rPr>
          <w:color w:val="000000" w:themeColor="text1"/>
        </w:rPr>
        <w:t>Mr. Yee’s son would like to see his father be more independent because he does not live close by. They decide that Mr. Yee's son will have joint access to monitor the accounts because his son is more technologically savvy.</w:t>
      </w:r>
    </w:p>
    <w:p w14:paraId="2856CD6A" w14:textId="50C4B229" w:rsidR="00A702AB" w:rsidRPr="00D734B7" w:rsidRDefault="00A702AB" w:rsidP="00A702AB">
      <w:pPr>
        <w:rPr>
          <w:color w:val="000000" w:themeColor="text1"/>
        </w:rPr>
      </w:pPr>
      <w:r w:rsidRPr="00D734B7">
        <w:rPr>
          <w:color w:val="000000" w:themeColor="text1"/>
        </w:rPr>
        <w:t xml:space="preserve">Mr. Yee’s score for capacity would be </w:t>
      </w:r>
      <w:r w:rsidR="005C1855" w:rsidRPr="00D734B7">
        <w:rPr>
          <w:color w:val="000000" w:themeColor="text1"/>
        </w:rPr>
        <w:t>“</w:t>
      </w:r>
      <w:r w:rsidRPr="00D734B7">
        <w:rPr>
          <w:color w:val="000000" w:themeColor="text1"/>
        </w:rPr>
        <w:t xml:space="preserve">0” for independent. He has the capacity to do </w:t>
      </w:r>
      <w:proofErr w:type="gramStart"/>
      <w:r w:rsidRPr="00D734B7">
        <w:rPr>
          <w:color w:val="000000" w:themeColor="text1"/>
        </w:rPr>
        <w:t>all of</w:t>
      </w:r>
      <w:proofErr w:type="gramEnd"/>
      <w:r w:rsidRPr="00D734B7">
        <w:rPr>
          <w:color w:val="000000" w:themeColor="text1"/>
        </w:rPr>
        <w:t xml:space="preserve"> the elements of financial management with the training his son will provide.</w:t>
      </w:r>
    </w:p>
    <w:p w14:paraId="6A65E65C" w14:textId="1995CF1A" w:rsidR="00A702AB" w:rsidRPr="00D734B7" w:rsidRDefault="00A702AB" w:rsidP="00A702AB">
      <w:pPr>
        <w:rPr>
          <w:color w:val="000000" w:themeColor="text1"/>
        </w:rPr>
      </w:pPr>
      <w:r w:rsidRPr="00D734B7">
        <w:rPr>
          <w:color w:val="000000" w:themeColor="text1"/>
        </w:rPr>
        <w:t>His son does not live close by. They decide that Mr. Yee's son will have joint access to monitor the accounts because his son is more technologically savvy. Mr. Yee’s score for capacity would be “0” for independent</w:t>
      </w:r>
      <w:r w:rsidR="003450CD" w:rsidRPr="00D734B7">
        <w:rPr>
          <w:color w:val="000000" w:themeColor="text1"/>
        </w:rPr>
        <w:t>.</w:t>
      </w:r>
    </w:p>
    <w:p w14:paraId="3F54C403" w14:textId="167C5095" w:rsidR="00A615A0" w:rsidRPr="00D734B7" w:rsidRDefault="00A702AB" w:rsidP="00A702AB">
      <w:pPr>
        <w:rPr>
          <w:color w:val="000000" w:themeColor="text1"/>
        </w:rPr>
      </w:pPr>
      <w:r w:rsidRPr="00D734B7">
        <w:rPr>
          <w:color w:val="000000" w:themeColor="text1"/>
        </w:rPr>
        <w:lastRenderedPageBreak/>
        <w:t xml:space="preserve">He has the capacity to do </w:t>
      </w:r>
      <w:proofErr w:type="gramStart"/>
      <w:r w:rsidRPr="00D734B7">
        <w:rPr>
          <w:color w:val="000000" w:themeColor="text1"/>
        </w:rPr>
        <w:t>all of</w:t>
      </w:r>
      <w:proofErr w:type="gramEnd"/>
      <w:r w:rsidRPr="00D734B7">
        <w:rPr>
          <w:color w:val="000000" w:themeColor="text1"/>
        </w:rPr>
        <w:t xml:space="preserve"> the elements of financial management with the training his son will provide</w:t>
      </w:r>
      <w:r w:rsidR="003450CD" w:rsidRPr="00D734B7">
        <w:rPr>
          <w:color w:val="000000" w:themeColor="text1"/>
        </w:rPr>
        <w:t>.</w:t>
      </w:r>
    </w:p>
    <w:p w14:paraId="31F078B0" w14:textId="093170D7" w:rsidR="00A615A0" w:rsidRPr="00D734B7" w:rsidRDefault="00E1768B" w:rsidP="00E6205B">
      <w:pPr>
        <w:pStyle w:val="Heading3"/>
        <w:rPr>
          <w:color w:val="000000" w:themeColor="text1"/>
        </w:rPr>
      </w:pPr>
      <w:bookmarkStart w:id="59" w:name="_Toc215931899"/>
      <w:r w:rsidRPr="00D734B7">
        <w:rPr>
          <w:color w:val="000000" w:themeColor="text1"/>
        </w:rPr>
        <w:t>Functional Status – Medication</w:t>
      </w:r>
      <w:bookmarkEnd w:id="59"/>
    </w:p>
    <w:p w14:paraId="3918BEB3" w14:textId="563972DC" w:rsidR="00E1768B" w:rsidRPr="00D734B7" w:rsidRDefault="00E1768B" w:rsidP="00945CAA">
      <w:pPr>
        <w:rPr>
          <w:color w:val="000000" w:themeColor="text1"/>
        </w:rPr>
      </w:pPr>
      <w:r w:rsidRPr="00D734B7">
        <w:rPr>
          <w:color w:val="000000" w:themeColor="text1"/>
        </w:rPr>
        <w:t xml:space="preserve">Managing medications includes remembering to take medicines, being able to open a bottle or container, taking the correct drug dosages, giving injections, applying ointments, and understanding side effects. Medication management is included in the scoring matrix to determine </w:t>
      </w:r>
      <w:r w:rsidR="003450CD" w:rsidRPr="00D734B7">
        <w:rPr>
          <w:color w:val="000000" w:themeColor="text1"/>
        </w:rPr>
        <w:t>NFCE</w:t>
      </w:r>
      <w:r w:rsidRPr="00D734B7">
        <w:rPr>
          <w:color w:val="000000" w:themeColor="text1"/>
        </w:rPr>
        <w:t>.</w:t>
      </w:r>
    </w:p>
    <w:p w14:paraId="6CE4CE59" w14:textId="77777777" w:rsidR="00AE5F17" w:rsidRPr="00D734B7" w:rsidRDefault="00AE5F17" w:rsidP="00AE5F17">
      <w:pPr>
        <w:rPr>
          <w:color w:val="000000" w:themeColor="text1"/>
        </w:rPr>
      </w:pPr>
      <w:r w:rsidRPr="00D734B7">
        <w:rPr>
          <w:color w:val="000000" w:themeColor="text1"/>
        </w:rPr>
        <w:t>Let’s revisit Mr. Harris, Mrs. Green, and Mr. Yee.</w:t>
      </w:r>
    </w:p>
    <w:p w14:paraId="44F984B4" w14:textId="378BDF91" w:rsidR="00A615A0" w:rsidRPr="00D734B7" w:rsidRDefault="00E1768B" w:rsidP="00E6205B">
      <w:pPr>
        <w:pStyle w:val="Heading4"/>
        <w:rPr>
          <w:color w:val="000000" w:themeColor="text1"/>
        </w:rPr>
      </w:pPr>
      <w:r w:rsidRPr="00D734B7">
        <w:rPr>
          <w:color w:val="000000" w:themeColor="text1"/>
        </w:rPr>
        <w:t>Mr. Harris</w:t>
      </w:r>
    </w:p>
    <w:p w14:paraId="0EC60151" w14:textId="5518C5AF" w:rsidR="00335394" w:rsidRPr="00D734B7" w:rsidRDefault="00335394" w:rsidP="00335394">
      <w:pPr>
        <w:rPr>
          <w:color w:val="000000" w:themeColor="text1"/>
        </w:rPr>
      </w:pPr>
      <w:r w:rsidRPr="00D734B7">
        <w:rPr>
          <w:color w:val="000000" w:themeColor="text1"/>
        </w:rPr>
        <w:t>Mr. Harris takes medications daily. Some require an empty stomach</w:t>
      </w:r>
      <w:r w:rsidR="003450CD" w:rsidRPr="00D734B7">
        <w:rPr>
          <w:color w:val="000000" w:themeColor="text1"/>
        </w:rPr>
        <w:t>,</w:t>
      </w:r>
      <w:r w:rsidRPr="00D734B7">
        <w:rPr>
          <w:color w:val="000000" w:themeColor="text1"/>
        </w:rPr>
        <w:t xml:space="preserve"> and some require food with the pill. Mr. Harris is aware of this and has developed habits to make sure that he takes the medicines accordingly.</w:t>
      </w:r>
    </w:p>
    <w:p w14:paraId="2C439E89" w14:textId="2C438998" w:rsidR="00335394" w:rsidRPr="00D734B7" w:rsidRDefault="00335394" w:rsidP="00335394">
      <w:pPr>
        <w:rPr>
          <w:color w:val="000000" w:themeColor="text1"/>
        </w:rPr>
      </w:pPr>
      <w:r w:rsidRPr="00D734B7">
        <w:rPr>
          <w:color w:val="000000" w:themeColor="text1"/>
        </w:rPr>
        <w:t xml:space="preserve">He has enough grip strength to open his medications. He requested the non-childproof lids from his local pharmacy. He has read and keeps in a filing cabinet </w:t>
      </w:r>
      <w:proofErr w:type="gramStart"/>
      <w:r w:rsidRPr="00D734B7">
        <w:rPr>
          <w:color w:val="000000" w:themeColor="text1"/>
        </w:rPr>
        <w:t>all of</w:t>
      </w:r>
      <w:proofErr w:type="gramEnd"/>
      <w:r w:rsidRPr="00D734B7">
        <w:rPr>
          <w:color w:val="000000" w:themeColor="text1"/>
        </w:rPr>
        <w:t xml:space="preserve"> the information that the pharmacy provided about each drug. He requested and received these written materials in large print.</w:t>
      </w:r>
    </w:p>
    <w:p w14:paraId="7972FCD3" w14:textId="503D81A8" w:rsidR="00335394" w:rsidRPr="00D734B7" w:rsidRDefault="00335394" w:rsidP="00335394">
      <w:pPr>
        <w:rPr>
          <w:color w:val="000000" w:themeColor="text1"/>
        </w:rPr>
      </w:pPr>
      <w:r w:rsidRPr="00D734B7">
        <w:rPr>
          <w:color w:val="000000" w:themeColor="text1"/>
        </w:rPr>
        <w:t xml:space="preserve">Because Mr. Harris took </w:t>
      </w:r>
      <w:proofErr w:type="gramStart"/>
      <w:r w:rsidRPr="00D734B7">
        <w:rPr>
          <w:color w:val="000000" w:themeColor="text1"/>
        </w:rPr>
        <w:t>all of</w:t>
      </w:r>
      <w:proofErr w:type="gramEnd"/>
      <w:r w:rsidRPr="00D734B7">
        <w:rPr>
          <w:color w:val="000000" w:themeColor="text1"/>
        </w:rPr>
        <w:t xml:space="preserve"> his medications without any assistance in the three-day observation period, his score in performance is “0.”</w:t>
      </w:r>
    </w:p>
    <w:p w14:paraId="3364B4A6" w14:textId="6FFE6DE6" w:rsidR="00A615A0" w:rsidRPr="00D734B7" w:rsidRDefault="00335394" w:rsidP="00335394">
      <w:pPr>
        <w:rPr>
          <w:color w:val="000000" w:themeColor="text1"/>
        </w:rPr>
      </w:pPr>
      <w:r w:rsidRPr="00D734B7">
        <w:rPr>
          <w:color w:val="000000" w:themeColor="text1"/>
        </w:rPr>
        <w:t>Mr. Harris is fully independent. His score in capacity would also be “0” for independent.</w:t>
      </w:r>
    </w:p>
    <w:p w14:paraId="3973142E" w14:textId="625CEE33" w:rsidR="00A615A0" w:rsidRPr="00D734B7" w:rsidRDefault="00E1768B" w:rsidP="00E6205B">
      <w:pPr>
        <w:pStyle w:val="Heading4"/>
        <w:rPr>
          <w:color w:val="000000" w:themeColor="text1"/>
        </w:rPr>
      </w:pPr>
      <w:r w:rsidRPr="00D734B7">
        <w:rPr>
          <w:color w:val="000000" w:themeColor="text1"/>
        </w:rPr>
        <w:t>Mrs. Green</w:t>
      </w:r>
    </w:p>
    <w:p w14:paraId="5F1EC60F" w14:textId="4F4003EE" w:rsidR="00335394" w:rsidRPr="00D734B7" w:rsidRDefault="00335394" w:rsidP="00335394">
      <w:pPr>
        <w:rPr>
          <w:color w:val="000000" w:themeColor="text1"/>
        </w:rPr>
      </w:pPr>
      <w:r w:rsidRPr="00D734B7">
        <w:rPr>
          <w:color w:val="000000" w:themeColor="text1"/>
        </w:rPr>
        <w:t xml:space="preserve">Mrs. Green took </w:t>
      </w:r>
      <w:proofErr w:type="gramStart"/>
      <w:r w:rsidRPr="00D734B7">
        <w:rPr>
          <w:color w:val="000000" w:themeColor="text1"/>
        </w:rPr>
        <w:t>all of</w:t>
      </w:r>
      <w:proofErr w:type="gramEnd"/>
      <w:r w:rsidRPr="00D734B7">
        <w:rPr>
          <w:color w:val="000000" w:themeColor="text1"/>
        </w:rPr>
        <w:t xml:space="preserve"> her medications in the three-day observation window. Mrs. Green relies on a caregiver and her daughter to purchase her medications and set them up in a pill pack that has the times of day noted on the pack. This way, Mrs. Green can see that she took her morning, afternoon, evening, and night-time pills.</w:t>
      </w:r>
    </w:p>
    <w:p w14:paraId="504AE06A" w14:textId="543B650E" w:rsidR="00335394" w:rsidRPr="00D734B7" w:rsidRDefault="00335394" w:rsidP="00335394">
      <w:pPr>
        <w:rPr>
          <w:color w:val="000000" w:themeColor="text1"/>
        </w:rPr>
      </w:pPr>
      <w:r w:rsidRPr="00D734B7">
        <w:rPr>
          <w:color w:val="000000" w:themeColor="text1"/>
        </w:rPr>
        <w:t>She relies on the medication box to make sure that she has taken the pills at the right time of day. Otherwise, she doubts she could remember.</w:t>
      </w:r>
    </w:p>
    <w:p w14:paraId="2B208E0E" w14:textId="77777777" w:rsidR="00335394" w:rsidRPr="00D734B7" w:rsidRDefault="00335394" w:rsidP="00335394">
      <w:pPr>
        <w:rPr>
          <w:color w:val="000000" w:themeColor="text1"/>
        </w:rPr>
      </w:pPr>
      <w:r w:rsidRPr="00D734B7">
        <w:rPr>
          <w:color w:val="000000" w:themeColor="text1"/>
        </w:rPr>
        <w:t xml:space="preserve">Her score for performance would be a “1” for setup help only. Mrs. Green, due to her arthritis and low vision, would have difficulty reading the prescription bottles and setting up her morning, afternoon, evening, and </w:t>
      </w:r>
      <w:proofErr w:type="gramStart"/>
      <w:r w:rsidRPr="00D734B7">
        <w:rPr>
          <w:color w:val="000000" w:themeColor="text1"/>
        </w:rPr>
        <w:t>night time</w:t>
      </w:r>
      <w:proofErr w:type="gramEnd"/>
      <w:r w:rsidRPr="00D734B7">
        <w:rPr>
          <w:color w:val="000000" w:themeColor="text1"/>
        </w:rPr>
        <w:t xml:space="preserve"> medications.</w:t>
      </w:r>
    </w:p>
    <w:p w14:paraId="7F34BAAA" w14:textId="05BD2188" w:rsidR="00335394" w:rsidRPr="00D734B7" w:rsidRDefault="00335394" w:rsidP="00335394">
      <w:pPr>
        <w:rPr>
          <w:color w:val="000000" w:themeColor="text1"/>
        </w:rPr>
      </w:pPr>
      <w:r w:rsidRPr="00D734B7">
        <w:rPr>
          <w:color w:val="000000" w:themeColor="text1"/>
        </w:rPr>
        <w:t>Therefore, her capacity would also be scored as a “1” for setup help only. If in discussions with her daughter and caregiver, it comes to light that Mrs. Green does not realize the effect of the medicines on her body and mind, her coding could shift to “2” for supervision.</w:t>
      </w:r>
    </w:p>
    <w:p w14:paraId="3E75952C" w14:textId="2334B32B" w:rsidR="00335394" w:rsidRPr="00D734B7" w:rsidRDefault="00335394" w:rsidP="00335394">
      <w:pPr>
        <w:rPr>
          <w:color w:val="000000" w:themeColor="text1"/>
        </w:rPr>
      </w:pPr>
      <w:r w:rsidRPr="00D734B7">
        <w:rPr>
          <w:color w:val="000000" w:themeColor="text1"/>
        </w:rPr>
        <w:lastRenderedPageBreak/>
        <w:t>Remember, if you are in a situation in which you are unsure about a coding score, use the comments field to describe why you selected the score. In the case of Mrs. Green, if you think that the daughter is being overly concerned and you are confident in Mrs. Green, include those notes to justify your score of “1” for capacity.</w:t>
      </w:r>
    </w:p>
    <w:p w14:paraId="0ED9F451" w14:textId="5619740F" w:rsidR="00A615A0" w:rsidRPr="00D734B7" w:rsidRDefault="00335394" w:rsidP="00335394">
      <w:pPr>
        <w:rPr>
          <w:color w:val="000000" w:themeColor="text1"/>
        </w:rPr>
      </w:pPr>
      <w:r w:rsidRPr="00D734B7">
        <w:rPr>
          <w:color w:val="000000" w:themeColor="text1"/>
        </w:rPr>
        <w:t>Likewise, if you are not confident that Mrs. Green can understand side effects and how the medications are affecting her, use the comments field to justify a coding of “2” for supervision.</w:t>
      </w:r>
    </w:p>
    <w:p w14:paraId="5A7E8577" w14:textId="28CC4D16" w:rsidR="00A615A0" w:rsidRPr="00D734B7" w:rsidRDefault="00E1768B" w:rsidP="00E6205B">
      <w:pPr>
        <w:pStyle w:val="Heading4"/>
        <w:rPr>
          <w:color w:val="000000" w:themeColor="text1"/>
        </w:rPr>
      </w:pPr>
      <w:r w:rsidRPr="00D734B7">
        <w:rPr>
          <w:color w:val="000000" w:themeColor="text1"/>
        </w:rPr>
        <w:t>Mr. Yee</w:t>
      </w:r>
    </w:p>
    <w:p w14:paraId="11A65601" w14:textId="3F138B50" w:rsidR="00C569C6" w:rsidRPr="00D734B7" w:rsidRDefault="00C569C6" w:rsidP="00C569C6">
      <w:pPr>
        <w:rPr>
          <w:color w:val="000000" w:themeColor="text1"/>
        </w:rPr>
      </w:pPr>
      <w:r w:rsidRPr="00D734B7">
        <w:rPr>
          <w:color w:val="000000" w:themeColor="text1"/>
        </w:rPr>
        <w:t xml:space="preserve">Mr. Yee takes some of his medications daily. He took </w:t>
      </w:r>
      <w:proofErr w:type="gramStart"/>
      <w:r w:rsidRPr="00D734B7">
        <w:rPr>
          <w:color w:val="000000" w:themeColor="text1"/>
        </w:rPr>
        <w:t>all of</w:t>
      </w:r>
      <w:proofErr w:type="gramEnd"/>
      <w:r w:rsidRPr="00D734B7">
        <w:rPr>
          <w:color w:val="000000" w:themeColor="text1"/>
        </w:rPr>
        <w:t xml:space="preserve"> his medications at the prescribed dosage and time of day in the three-day observation. His performance score is “0” for independent.</w:t>
      </w:r>
    </w:p>
    <w:p w14:paraId="2C644AEA" w14:textId="5D2F5EAD" w:rsidR="00C569C6" w:rsidRPr="00D734B7" w:rsidRDefault="00C569C6" w:rsidP="00C569C6">
      <w:pPr>
        <w:rPr>
          <w:color w:val="000000" w:themeColor="text1"/>
        </w:rPr>
      </w:pPr>
      <w:r w:rsidRPr="00D734B7">
        <w:rPr>
          <w:color w:val="000000" w:themeColor="text1"/>
        </w:rPr>
        <w:t>On a monthly basis, Mr. Yee receives an infusion intravenously and must take an injection at the end of the 24-hour infusion. So, in terms of capacity, the coding score is “3” for limited assistance.</w:t>
      </w:r>
    </w:p>
    <w:p w14:paraId="30D7535B" w14:textId="019989C4" w:rsidR="00C569C6" w:rsidRPr="00D734B7" w:rsidRDefault="00C569C6" w:rsidP="00C569C6">
      <w:pPr>
        <w:rPr>
          <w:color w:val="000000" w:themeColor="text1"/>
        </w:rPr>
      </w:pPr>
      <w:r w:rsidRPr="00D734B7">
        <w:rPr>
          <w:color w:val="000000" w:themeColor="text1"/>
        </w:rPr>
        <w:t>He is totally dependent on a registered nurse to administer the 24-hour infusion through an intravenous delivery system. He can observe himself and monitor side effects of the infusion.</w:t>
      </w:r>
    </w:p>
    <w:p w14:paraId="1C603057" w14:textId="22C97CDF" w:rsidR="00C569C6" w:rsidRPr="00D734B7" w:rsidRDefault="00C569C6" w:rsidP="00C569C6">
      <w:pPr>
        <w:rPr>
          <w:color w:val="000000" w:themeColor="text1"/>
        </w:rPr>
      </w:pPr>
      <w:r w:rsidRPr="00D734B7">
        <w:rPr>
          <w:color w:val="000000" w:themeColor="text1"/>
        </w:rPr>
        <w:t>He was trained to give himself the necessary injection at the end of the 24-hour infusion. How do we determine the coding?</w:t>
      </w:r>
    </w:p>
    <w:p w14:paraId="602293A9" w14:textId="7412A147" w:rsidR="00C569C6" w:rsidRPr="00D734B7" w:rsidRDefault="00C569C6" w:rsidP="00C569C6">
      <w:pPr>
        <w:rPr>
          <w:color w:val="000000" w:themeColor="text1"/>
        </w:rPr>
      </w:pPr>
      <w:r w:rsidRPr="00D734B7">
        <w:rPr>
          <w:color w:val="000000" w:themeColor="text1"/>
        </w:rPr>
        <w:t>On some elements he is fully independent. On others he is totally dependent. And, in terms of the injection, he may need setup or supervision. In this case, remember to use comments to justify the selection you make.</w:t>
      </w:r>
    </w:p>
    <w:p w14:paraId="55CC5FBD" w14:textId="09FBC54C" w:rsidR="00C569C6" w:rsidRPr="00D734B7" w:rsidRDefault="00C569C6" w:rsidP="00C569C6">
      <w:pPr>
        <w:rPr>
          <w:color w:val="000000" w:themeColor="text1"/>
        </w:rPr>
      </w:pPr>
      <w:proofErr w:type="gramStart"/>
      <w:r w:rsidRPr="00D734B7">
        <w:rPr>
          <w:color w:val="000000" w:themeColor="text1"/>
        </w:rPr>
        <w:t>On a daily basis</w:t>
      </w:r>
      <w:proofErr w:type="gramEnd"/>
      <w:r w:rsidRPr="00D734B7">
        <w:rPr>
          <w:color w:val="000000" w:themeColor="text1"/>
        </w:rPr>
        <w:t xml:space="preserve"> he is totally independent. On a monthly basis he is totally dependent. If we take the totality of his medication management, he requires help for less than half of it. Therefore, he could be coded as a “5” for extensive assistance.</w:t>
      </w:r>
    </w:p>
    <w:p w14:paraId="365351E1" w14:textId="3D9957F4" w:rsidR="00C569C6" w:rsidRPr="00D734B7" w:rsidRDefault="00C569C6" w:rsidP="00C569C6">
      <w:pPr>
        <w:rPr>
          <w:color w:val="000000" w:themeColor="text1"/>
        </w:rPr>
      </w:pPr>
      <w:r w:rsidRPr="00D734B7">
        <w:rPr>
          <w:color w:val="000000" w:themeColor="text1"/>
        </w:rPr>
        <w:t>Mr. Yee could also be coded as a “5” because of the requirement for a registered nurse to administer the infusion. It is not possible for Mr. Yee to prepare and deliver his own infusion.</w:t>
      </w:r>
    </w:p>
    <w:p w14:paraId="42D30F5B" w14:textId="406871FB" w:rsidR="00A615A0" w:rsidRPr="00D734B7" w:rsidRDefault="00C569C6" w:rsidP="00C569C6">
      <w:pPr>
        <w:rPr>
          <w:color w:val="000000" w:themeColor="text1"/>
        </w:rPr>
      </w:pPr>
      <w:r w:rsidRPr="00D734B7">
        <w:rPr>
          <w:color w:val="000000" w:themeColor="text1"/>
        </w:rPr>
        <w:t xml:space="preserve">As you can see, assessors will need to engage the individual and potentially the family members or caregivers to accurately code and describe the individual's capacity to do more of their </w:t>
      </w:r>
      <w:r w:rsidR="00E67A9C" w:rsidRPr="00D734B7">
        <w:rPr>
          <w:color w:val="000000" w:themeColor="text1"/>
        </w:rPr>
        <w:t>IADLs</w:t>
      </w:r>
      <w:r w:rsidRPr="00D734B7">
        <w:rPr>
          <w:color w:val="000000" w:themeColor="text1"/>
        </w:rPr>
        <w:t>.</w:t>
      </w:r>
    </w:p>
    <w:p w14:paraId="3600E9D4" w14:textId="2F43D4FB" w:rsidR="00A615A0" w:rsidRPr="00D734B7" w:rsidRDefault="00E1768B">
      <w:pPr>
        <w:pStyle w:val="Heading2"/>
        <w:rPr>
          <w:color w:val="000000" w:themeColor="text1"/>
        </w:rPr>
      </w:pPr>
      <w:bookmarkStart w:id="60" w:name="_Toc215931900"/>
      <w:r w:rsidRPr="00D734B7">
        <w:rPr>
          <w:color w:val="000000" w:themeColor="text1"/>
        </w:rPr>
        <w:t>FED Determination Scoring Matrix</w:t>
      </w:r>
      <w:bookmarkEnd w:id="60"/>
    </w:p>
    <w:p w14:paraId="2DC28946" w14:textId="71FEEF1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Now that we're consistent in our scoring and understanding of the categories and the descriptions of the activities, let's move to the functional eligibility determination scoring matrix.</w:t>
      </w:r>
      <w:r w:rsidR="00900C16" w:rsidRPr="00D734B7">
        <w:rPr>
          <w:color w:val="000000" w:themeColor="text1"/>
        </w:rPr>
        <w:t xml:space="preserve"> </w:t>
      </w:r>
      <w:r w:rsidRPr="00D734B7">
        <w:rPr>
          <w:color w:val="000000" w:themeColor="text1"/>
        </w:rPr>
        <w:t>The mathematical part of the scoring matrix is performed by the PIA system. It is reviewed by Aging Well PA assessors.</w:t>
      </w:r>
    </w:p>
    <w:p w14:paraId="28E36857" w14:textId="67682C8A" w:rsidR="00A615A0" w:rsidRPr="00D734B7" w:rsidRDefault="00E1768B" w:rsidP="00E6205B">
      <w:pPr>
        <w:pStyle w:val="Heading3"/>
        <w:rPr>
          <w:color w:val="000000" w:themeColor="text1"/>
        </w:rPr>
      </w:pPr>
      <w:bookmarkStart w:id="61" w:name="_Toc215931901"/>
      <w:r w:rsidRPr="00D734B7">
        <w:rPr>
          <w:color w:val="000000" w:themeColor="text1"/>
        </w:rPr>
        <w:lastRenderedPageBreak/>
        <w:t>FED Scoring</w:t>
      </w:r>
      <w:bookmarkEnd w:id="61"/>
    </w:p>
    <w:p w14:paraId="04CA45C0" w14:textId="0F75B66A" w:rsidR="00E1768B" w:rsidRPr="00D734B7" w:rsidRDefault="00E1768B" w:rsidP="00945CAA">
      <w:pPr>
        <w:rPr>
          <w:color w:val="000000" w:themeColor="text1"/>
        </w:rPr>
      </w:pPr>
      <w:r w:rsidRPr="00D734B7">
        <w:rPr>
          <w:color w:val="000000" w:themeColor="text1"/>
        </w:rPr>
        <w:t>To meet the definition of NFCE, a person requires a minimum three partial deficits OR any full deficit on any scored category. An individual needs a score of three or more on any one item for ADLs to have a deficit.</w:t>
      </w:r>
    </w:p>
    <w:p w14:paraId="364D68AE" w14:textId="77777777" w:rsidR="00E1768B" w:rsidRPr="00D734B7" w:rsidRDefault="00E1768B" w:rsidP="00945CAA">
      <w:pPr>
        <w:rPr>
          <w:color w:val="000000" w:themeColor="text1"/>
        </w:rPr>
      </w:pPr>
      <w:r w:rsidRPr="00D734B7">
        <w:rPr>
          <w:color w:val="000000" w:themeColor="text1"/>
        </w:rPr>
        <w:t>The categories that are scored for functional eligibility are:</w:t>
      </w:r>
    </w:p>
    <w:p w14:paraId="1E153ABC" w14:textId="77777777" w:rsidR="00E1768B" w:rsidRPr="00D734B7" w:rsidRDefault="00E1768B" w:rsidP="00945CAA">
      <w:pPr>
        <w:rPr>
          <w:color w:val="000000" w:themeColor="text1"/>
        </w:rPr>
      </w:pPr>
      <w:r w:rsidRPr="00D734B7">
        <w:rPr>
          <w:color w:val="000000" w:themeColor="text1"/>
        </w:rPr>
        <w:t>Scoring Element A: FED Section B.1 Cognitive Skills for Daily Decision-Making.</w:t>
      </w:r>
    </w:p>
    <w:p w14:paraId="2F7B0D1F" w14:textId="77777777" w:rsidR="00E1768B" w:rsidRPr="00D734B7" w:rsidRDefault="00E1768B" w:rsidP="00945CAA">
      <w:pPr>
        <w:rPr>
          <w:color w:val="000000" w:themeColor="text1"/>
        </w:rPr>
      </w:pPr>
      <w:r w:rsidRPr="00D734B7">
        <w:rPr>
          <w:color w:val="000000" w:themeColor="text1"/>
        </w:rPr>
        <w:t>A score of 2 to 4 is a partial deficit. A score of 5 is a full deficit.</w:t>
      </w:r>
    </w:p>
    <w:p w14:paraId="5CFA896D" w14:textId="77777777" w:rsidR="00E1768B" w:rsidRPr="00D734B7" w:rsidRDefault="00E1768B" w:rsidP="00945CAA">
      <w:pPr>
        <w:rPr>
          <w:color w:val="000000" w:themeColor="text1"/>
        </w:rPr>
      </w:pPr>
      <w:r w:rsidRPr="00D734B7">
        <w:rPr>
          <w:color w:val="000000" w:themeColor="text1"/>
        </w:rPr>
        <w:t>Scoring Element B: FED Sections B.2.A Short-Term Memory, B.2.B Procedural Memory, B.2.C. Situational Memory.</w:t>
      </w:r>
    </w:p>
    <w:p w14:paraId="1276FE7B" w14:textId="77777777" w:rsidR="00E1768B" w:rsidRPr="00D734B7" w:rsidRDefault="00E1768B" w:rsidP="00945CAA">
      <w:pPr>
        <w:rPr>
          <w:color w:val="000000" w:themeColor="text1"/>
        </w:rPr>
      </w:pPr>
      <w:r w:rsidRPr="00D734B7">
        <w:rPr>
          <w:color w:val="000000" w:themeColor="text1"/>
        </w:rPr>
        <w:t>A score of 1 on one or more of these is a partial deficit.</w:t>
      </w:r>
    </w:p>
    <w:p w14:paraId="701C9628" w14:textId="77777777" w:rsidR="00E1768B" w:rsidRPr="00D734B7" w:rsidRDefault="00E1768B" w:rsidP="00945CAA">
      <w:pPr>
        <w:rPr>
          <w:color w:val="000000" w:themeColor="text1"/>
        </w:rPr>
      </w:pPr>
      <w:r w:rsidRPr="00D734B7">
        <w:rPr>
          <w:color w:val="000000" w:themeColor="text1"/>
        </w:rPr>
        <w:t>Scoring Element C: FED Sections B.3.</w:t>
      </w:r>
      <w:proofErr w:type="gramStart"/>
      <w:r w:rsidRPr="00D734B7">
        <w:rPr>
          <w:color w:val="000000" w:themeColor="text1"/>
        </w:rPr>
        <w:t>A</w:t>
      </w:r>
      <w:proofErr w:type="gramEnd"/>
      <w:r w:rsidRPr="00D734B7">
        <w:rPr>
          <w:color w:val="000000" w:themeColor="text1"/>
        </w:rPr>
        <w:t xml:space="preserve"> Easily Distracted, B.3.B. Disorganized Speech, B.3.C Mental Function Varies.</w:t>
      </w:r>
    </w:p>
    <w:p w14:paraId="13B97D09" w14:textId="77777777" w:rsidR="00E1768B" w:rsidRPr="00D734B7" w:rsidRDefault="00E1768B" w:rsidP="00945CAA">
      <w:pPr>
        <w:rPr>
          <w:color w:val="000000" w:themeColor="text1"/>
        </w:rPr>
      </w:pPr>
      <w:r w:rsidRPr="00D734B7">
        <w:rPr>
          <w:color w:val="000000" w:themeColor="text1"/>
        </w:rPr>
        <w:t>A score of 1 or 2 on one or more sections is a partial deficit.</w:t>
      </w:r>
    </w:p>
    <w:p w14:paraId="38EECFEB" w14:textId="77777777" w:rsidR="00E1768B" w:rsidRPr="00D734B7" w:rsidRDefault="00E1768B" w:rsidP="00945CAA">
      <w:pPr>
        <w:rPr>
          <w:color w:val="000000" w:themeColor="text1"/>
        </w:rPr>
      </w:pPr>
      <w:r w:rsidRPr="00D734B7">
        <w:rPr>
          <w:color w:val="000000" w:themeColor="text1"/>
        </w:rPr>
        <w:t>Scoring Element D: FED Sections C.1.A Wandering, C.1.B. Verbal Abuse, C.1.C Physical Abuse, C.1.D. Socially Inappropriate or Disruptive Behaviors.</w:t>
      </w:r>
    </w:p>
    <w:p w14:paraId="3CAB35F9" w14:textId="77777777" w:rsidR="00E1768B" w:rsidRPr="00D734B7" w:rsidRDefault="00E1768B" w:rsidP="00945CAA">
      <w:pPr>
        <w:rPr>
          <w:color w:val="000000" w:themeColor="text1"/>
        </w:rPr>
      </w:pPr>
      <w:r w:rsidRPr="00D734B7">
        <w:rPr>
          <w:color w:val="000000" w:themeColor="text1"/>
        </w:rPr>
        <w:t>A score of 2 or 3 on one or more sections is a partial deficit.</w:t>
      </w:r>
    </w:p>
    <w:p w14:paraId="03B0620D" w14:textId="77777777" w:rsidR="00E1768B" w:rsidRPr="00D734B7" w:rsidRDefault="00E1768B" w:rsidP="00945CAA">
      <w:pPr>
        <w:rPr>
          <w:color w:val="000000" w:themeColor="text1"/>
        </w:rPr>
      </w:pPr>
      <w:r w:rsidRPr="00D734B7">
        <w:rPr>
          <w:color w:val="000000" w:themeColor="text1"/>
        </w:rPr>
        <w:t>Scoring Element E: FED Sections D.1.A. Bathing, D.1.B. Personal Hygiene, D.1.C. or D.1.D Dressing, D.1.E or D.1.F. Walking/Locomotion, D.1.G or D.1.H. Toilet Use or Transfer, D.1.I. Eating.</w:t>
      </w:r>
    </w:p>
    <w:p w14:paraId="20AE3A22" w14:textId="77777777" w:rsidR="00E1768B" w:rsidRPr="00D734B7" w:rsidRDefault="00E1768B" w:rsidP="00945CAA">
      <w:pPr>
        <w:rPr>
          <w:color w:val="000000" w:themeColor="text1"/>
        </w:rPr>
      </w:pPr>
      <w:r w:rsidRPr="00D734B7">
        <w:rPr>
          <w:color w:val="000000" w:themeColor="text1"/>
        </w:rPr>
        <w:t>A score of 3 to 6 on any two sections is a partial deficit. A score of 3 to 6 on three or more bullets is a full deficit.</w:t>
      </w:r>
    </w:p>
    <w:p w14:paraId="24D01AC6" w14:textId="77777777" w:rsidR="00E1768B" w:rsidRPr="00D734B7" w:rsidRDefault="00E1768B" w:rsidP="00945CAA">
      <w:pPr>
        <w:rPr>
          <w:color w:val="000000" w:themeColor="text1"/>
        </w:rPr>
      </w:pPr>
      <w:r w:rsidRPr="00D734B7">
        <w:rPr>
          <w:color w:val="000000" w:themeColor="text1"/>
        </w:rPr>
        <w:t>Scoring Element F: FED Section D.2.A. Primary Mode of Locomotion.</w:t>
      </w:r>
    </w:p>
    <w:p w14:paraId="5E9FF42C" w14:textId="77777777" w:rsidR="00E1768B" w:rsidRPr="00D734B7" w:rsidRDefault="00E1768B" w:rsidP="00945CAA">
      <w:pPr>
        <w:rPr>
          <w:color w:val="000000" w:themeColor="text1"/>
        </w:rPr>
      </w:pPr>
      <w:r w:rsidRPr="00D734B7">
        <w:rPr>
          <w:color w:val="000000" w:themeColor="text1"/>
        </w:rPr>
        <w:t>A score of 2 is a partial deficit. A score of 3 is a full deficit.</w:t>
      </w:r>
    </w:p>
    <w:p w14:paraId="4321ACCC" w14:textId="77777777" w:rsidR="00E1768B" w:rsidRPr="00D734B7" w:rsidRDefault="00E1768B" w:rsidP="00945CAA">
      <w:pPr>
        <w:rPr>
          <w:color w:val="000000" w:themeColor="text1"/>
        </w:rPr>
      </w:pPr>
      <w:r w:rsidRPr="00D734B7">
        <w:rPr>
          <w:color w:val="000000" w:themeColor="text1"/>
        </w:rPr>
        <w:t>Scoring Element G: FED Section D.3. Managing Medications.</w:t>
      </w:r>
    </w:p>
    <w:p w14:paraId="7DEEF0B6" w14:textId="77777777" w:rsidR="00E1768B" w:rsidRPr="00D734B7" w:rsidRDefault="00E1768B" w:rsidP="00945CAA">
      <w:pPr>
        <w:rPr>
          <w:color w:val="000000" w:themeColor="text1"/>
        </w:rPr>
      </w:pPr>
      <w:r w:rsidRPr="00D734B7">
        <w:rPr>
          <w:color w:val="000000" w:themeColor="text1"/>
        </w:rPr>
        <w:t>A score of 5 or 6 is a partial.</w:t>
      </w:r>
    </w:p>
    <w:p w14:paraId="4B2276F3" w14:textId="77777777" w:rsidR="00E1768B" w:rsidRPr="00D734B7" w:rsidRDefault="00E1768B" w:rsidP="00945CAA">
      <w:pPr>
        <w:rPr>
          <w:color w:val="000000" w:themeColor="text1"/>
        </w:rPr>
      </w:pPr>
      <w:r w:rsidRPr="00D734B7">
        <w:rPr>
          <w:color w:val="000000" w:themeColor="text1"/>
        </w:rPr>
        <w:t>Scoring Element H: FED Section E.3. Bowel Continence</w:t>
      </w:r>
    </w:p>
    <w:p w14:paraId="043A22F2" w14:textId="77777777" w:rsidR="00E1768B" w:rsidRPr="00D734B7" w:rsidRDefault="00E1768B" w:rsidP="00945CAA">
      <w:pPr>
        <w:rPr>
          <w:color w:val="000000" w:themeColor="text1"/>
        </w:rPr>
      </w:pPr>
      <w:r w:rsidRPr="00D734B7">
        <w:rPr>
          <w:color w:val="000000" w:themeColor="text1"/>
        </w:rPr>
        <w:t>A score of 4 or 5 is a full deficit.</w:t>
      </w:r>
    </w:p>
    <w:p w14:paraId="630472C0" w14:textId="4734B03B" w:rsidR="00A615A0" w:rsidRPr="00D734B7" w:rsidRDefault="00E1768B" w:rsidP="00E6205B">
      <w:pPr>
        <w:pStyle w:val="Heading3"/>
        <w:rPr>
          <w:color w:val="000000" w:themeColor="text1"/>
        </w:rPr>
      </w:pPr>
      <w:bookmarkStart w:id="62" w:name="_Toc215931902"/>
      <w:r w:rsidRPr="00D734B7">
        <w:rPr>
          <w:color w:val="000000" w:themeColor="text1"/>
        </w:rPr>
        <w:t>FED Scoring Notes</w:t>
      </w:r>
      <w:bookmarkEnd w:id="62"/>
    </w:p>
    <w:p w14:paraId="39C756DD" w14:textId="77777777" w:rsidR="00E1768B" w:rsidRPr="00D734B7" w:rsidRDefault="00E1768B" w:rsidP="00945CAA">
      <w:pPr>
        <w:rPr>
          <w:color w:val="000000" w:themeColor="text1"/>
        </w:rPr>
      </w:pPr>
      <w:r w:rsidRPr="00D734B7">
        <w:rPr>
          <w:color w:val="000000" w:themeColor="text1"/>
        </w:rPr>
        <w:t>Please note:</w:t>
      </w:r>
    </w:p>
    <w:p w14:paraId="2F5C350A" w14:textId="77777777" w:rsidR="00E1768B" w:rsidRPr="00D734B7" w:rsidRDefault="00E1768B" w:rsidP="00E1768B">
      <w:pPr>
        <w:pStyle w:val="ListParagraph"/>
        <w:numPr>
          <w:ilvl w:val="0"/>
          <w:numId w:val="10"/>
        </w:numPr>
        <w:rPr>
          <w:color w:val="000000" w:themeColor="text1"/>
        </w:rPr>
      </w:pPr>
      <w:r w:rsidRPr="00D734B7">
        <w:rPr>
          <w:color w:val="000000" w:themeColor="text1"/>
        </w:rPr>
        <w:lastRenderedPageBreak/>
        <w:t>Not all FED items are included in scoring.</w:t>
      </w:r>
    </w:p>
    <w:p w14:paraId="7F6B8D35" w14:textId="77777777" w:rsidR="00E1768B" w:rsidRPr="00D734B7" w:rsidRDefault="00E1768B" w:rsidP="00E1768B">
      <w:pPr>
        <w:pStyle w:val="ListParagraph"/>
        <w:numPr>
          <w:ilvl w:val="0"/>
          <w:numId w:val="10"/>
        </w:numPr>
        <w:rPr>
          <w:color w:val="000000" w:themeColor="text1"/>
        </w:rPr>
      </w:pPr>
      <w:r w:rsidRPr="00D734B7">
        <w:rPr>
          <w:color w:val="000000" w:themeColor="text1"/>
        </w:rPr>
        <w:t>FED eligibility assessors can disagree with the determination.</w:t>
      </w:r>
    </w:p>
    <w:p w14:paraId="5C151C85" w14:textId="77777777" w:rsidR="00E1768B" w:rsidRPr="00D734B7" w:rsidRDefault="00E1768B" w:rsidP="00E1768B">
      <w:pPr>
        <w:pStyle w:val="ListParagraph"/>
        <w:numPr>
          <w:ilvl w:val="0"/>
          <w:numId w:val="10"/>
        </w:numPr>
        <w:rPr>
          <w:color w:val="000000" w:themeColor="text1"/>
        </w:rPr>
      </w:pPr>
      <w:r w:rsidRPr="00D734B7">
        <w:rPr>
          <w:color w:val="000000" w:themeColor="text1"/>
        </w:rPr>
        <w:t>FED assessors can enter notes or comments about the person.</w:t>
      </w:r>
    </w:p>
    <w:p w14:paraId="30F3F44E" w14:textId="77777777" w:rsidR="00E1768B" w:rsidRPr="00597AF4" w:rsidRDefault="00E1768B" w:rsidP="00E1768B">
      <w:pPr>
        <w:pStyle w:val="ListParagraph"/>
        <w:numPr>
          <w:ilvl w:val="0"/>
          <w:numId w:val="10"/>
        </w:numPr>
        <w:rPr>
          <w:color w:val="000000" w:themeColor="text1"/>
        </w:rPr>
      </w:pPr>
      <w:r w:rsidRPr="00D734B7">
        <w:rPr>
          <w:color w:val="000000" w:themeColor="text1"/>
        </w:rPr>
        <w:t>Notes are critical to Hearing Officers if there is an appeal.</w:t>
      </w:r>
    </w:p>
    <w:p w14:paraId="2F059C10" w14:textId="24ECB8EC" w:rsidR="00A615A0" w:rsidRPr="00D734B7" w:rsidRDefault="00E1768B">
      <w:pPr>
        <w:pStyle w:val="Heading2"/>
        <w:rPr>
          <w:color w:val="000000" w:themeColor="text1"/>
        </w:rPr>
      </w:pPr>
      <w:bookmarkStart w:id="63" w:name="_Toc215931903"/>
      <w:r w:rsidRPr="00D734B7">
        <w:rPr>
          <w:color w:val="000000" w:themeColor="text1"/>
        </w:rPr>
        <w:t>Approaching Assessments</w:t>
      </w:r>
      <w:bookmarkEnd w:id="63"/>
    </w:p>
    <w:p w14:paraId="781AF42D"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 xml:space="preserve">There is excellent guidance in the </w:t>
      </w:r>
      <w:proofErr w:type="spellStart"/>
      <w:r w:rsidRPr="00D734B7">
        <w:rPr>
          <w:color w:val="000000" w:themeColor="text1"/>
        </w:rPr>
        <w:t>interRAI</w:t>
      </w:r>
      <w:proofErr w:type="spellEnd"/>
      <w:r w:rsidRPr="00D734B7">
        <w:rPr>
          <w:color w:val="000000" w:themeColor="text1"/>
        </w:rPr>
        <w:t xml:space="preserve"> Version 9 Manual on how to approach performing assessments. This is in addition to the education and experiences of the assessors.</w:t>
      </w:r>
    </w:p>
    <w:p w14:paraId="1E0C15C4" w14:textId="2B2DC220" w:rsidR="00A615A0" w:rsidRPr="00D734B7" w:rsidRDefault="00E1768B" w:rsidP="00E6205B">
      <w:pPr>
        <w:pStyle w:val="Heading3"/>
        <w:rPr>
          <w:color w:val="000000" w:themeColor="text1"/>
        </w:rPr>
      </w:pPr>
      <w:bookmarkStart w:id="64" w:name="_Toc215931904"/>
      <w:r w:rsidRPr="00D734B7">
        <w:rPr>
          <w:color w:val="000000" w:themeColor="text1"/>
        </w:rPr>
        <w:t>Approaching Assessment Administration</w:t>
      </w:r>
      <w:bookmarkEnd w:id="64"/>
    </w:p>
    <w:p w14:paraId="2B9A9782" w14:textId="77777777" w:rsidR="00E1768B" w:rsidRPr="00D734B7" w:rsidRDefault="00E1768B" w:rsidP="00945CAA">
      <w:pPr>
        <w:rPr>
          <w:color w:val="000000" w:themeColor="text1"/>
        </w:rPr>
      </w:pPr>
      <w:r w:rsidRPr="00D734B7">
        <w:rPr>
          <w:color w:val="000000" w:themeColor="text1"/>
        </w:rPr>
        <w:t>In short, assessors:</w:t>
      </w:r>
    </w:p>
    <w:p w14:paraId="64B31996" w14:textId="77777777" w:rsidR="00E1768B" w:rsidRPr="00D734B7" w:rsidRDefault="00E1768B" w:rsidP="00E1768B">
      <w:pPr>
        <w:pStyle w:val="ListParagraph"/>
        <w:numPr>
          <w:ilvl w:val="0"/>
          <w:numId w:val="11"/>
        </w:numPr>
        <w:rPr>
          <w:color w:val="000000" w:themeColor="text1"/>
        </w:rPr>
      </w:pPr>
      <w:r w:rsidRPr="00D734B7">
        <w:rPr>
          <w:color w:val="000000" w:themeColor="text1"/>
        </w:rPr>
        <w:t>Build rapport.</w:t>
      </w:r>
    </w:p>
    <w:p w14:paraId="45E974A5" w14:textId="77777777" w:rsidR="00E1768B" w:rsidRPr="00D734B7" w:rsidRDefault="00E1768B" w:rsidP="00E1768B">
      <w:pPr>
        <w:pStyle w:val="ListParagraph"/>
        <w:numPr>
          <w:ilvl w:val="0"/>
          <w:numId w:val="11"/>
        </w:numPr>
        <w:rPr>
          <w:color w:val="000000" w:themeColor="text1"/>
        </w:rPr>
      </w:pPr>
      <w:r w:rsidRPr="00D734B7">
        <w:rPr>
          <w:color w:val="000000" w:themeColor="text1"/>
        </w:rPr>
        <w:t>Look for context.</w:t>
      </w:r>
    </w:p>
    <w:p w14:paraId="282CC006" w14:textId="77777777" w:rsidR="00E1768B" w:rsidRPr="00D734B7" w:rsidRDefault="00E1768B" w:rsidP="00E1768B">
      <w:pPr>
        <w:pStyle w:val="ListParagraph"/>
        <w:numPr>
          <w:ilvl w:val="0"/>
          <w:numId w:val="11"/>
        </w:numPr>
        <w:rPr>
          <w:color w:val="000000" w:themeColor="text1"/>
        </w:rPr>
      </w:pPr>
      <w:r w:rsidRPr="00D734B7">
        <w:rPr>
          <w:color w:val="000000" w:themeColor="text1"/>
        </w:rPr>
        <w:t>Use Motivational Interviewing.</w:t>
      </w:r>
    </w:p>
    <w:p w14:paraId="57CF771A" w14:textId="77777777" w:rsidR="00E1768B" w:rsidRPr="00D734B7" w:rsidRDefault="00E1768B" w:rsidP="00E1768B">
      <w:pPr>
        <w:pStyle w:val="ListParagraph"/>
        <w:numPr>
          <w:ilvl w:val="0"/>
          <w:numId w:val="11"/>
        </w:numPr>
        <w:rPr>
          <w:color w:val="000000" w:themeColor="text1"/>
        </w:rPr>
      </w:pPr>
      <w:r w:rsidRPr="00D734B7">
        <w:rPr>
          <w:color w:val="000000" w:themeColor="text1"/>
        </w:rPr>
        <w:t>Ask for broader sets of input from family or caregivers, and</w:t>
      </w:r>
    </w:p>
    <w:p w14:paraId="4D1900E1" w14:textId="1ED9CFCF" w:rsidR="00E1768B" w:rsidRPr="00AD49CA" w:rsidRDefault="00E1768B" w:rsidP="00E1768B">
      <w:pPr>
        <w:pStyle w:val="ListParagraph"/>
        <w:numPr>
          <w:ilvl w:val="0"/>
          <w:numId w:val="11"/>
        </w:numPr>
        <w:rPr>
          <w:color w:val="000000" w:themeColor="text1"/>
        </w:rPr>
      </w:pPr>
      <w:r w:rsidRPr="00D734B7">
        <w:rPr>
          <w:color w:val="000000" w:themeColor="text1"/>
        </w:rPr>
        <w:t>Use the manual for clarifications, example strategies</w:t>
      </w:r>
      <w:r w:rsidR="00E67A9C" w:rsidRPr="00D734B7">
        <w:rPr>
          <w:color w:val="000000" w:themeColor="text1"/>
        </w:rPr>
        <w:t>,</w:t>
      </w:r>
      <w:r w:rsidRPr="00D734B7">
        <w:rPr>
          <w:color w:val="000000" w:themeColor="text1"/>
        </w:rPr>
        <w:t xml:space="preserve"> and case studies.</w:t>
      </w:r>
    </w:p>
    <w:p w14:paraId="60E45B91" w14:textId="119FB534" w:rsidR="00A615A0" w:rsidRPr="00D734B7" w:rsidRDefault="00E1768B" w:rsidP="00E6205B">
      <w:pPr>
        <w:pStyle w:val="Heading3"/>
        <w:rPr>
          <w:color w:val="000000" w:themeColor="text1"/>
        </w:rPr>
      </w:pPr>
      <w:bookmarkStart w:id="65" w:name="_Toc215931905"/>
      <w:proofErr w:type="spellStart"/>
      <w:r w:rsidRPr="00D734B7">
        <w:rPr>
          <w:color w:val="000000" w:themeColor="text1"/>
        </w:rPr>
        <w:t>InterRAI</w:t>
      </w:r>
      <w:proofErr w:type="spellEnd"/>
      <w:r w:rsidRPr="00D734B7">
        <w:rPr>
          <w:color w:val="000000" w:themeColor="text1"/>
        </w:rPr>
        <w:t xml:space="preserve"> Home Care Instrument</w:t>
      </w:r>
      <w:bookmarkEnd w:id="65"/>
    </w:p>
    <w:p w14:paraId="383DC28C" w14:textId="77777777" w:rsidR="00E1768B" w:rsidRPr="00D734B7" w:rsidRDefault="00E1768B" w:rsidP="00945CAA">
      <w:pPr>
        <w:rPr>
          <w:color w:val="000000" w:themeColor="text1"/>
        </w:rPr>
      </w:pPr>
      <w:r w:rsidRPr="00D734B7">
        <w:rPr>
          <w:color w:val="000000" w:themeColor="text1"/>
        </w:rPr>
        <w:t xml:space="preserve">The </w:t>
      </w:r>
      <w:proofErr w:type="spellStart"/>
      <w:r w:rsidRPr="00D734B7">
        <w:rPr>
          <w:color w:val="000000" w:themeColor="text1"/>
        </w:rPr>
        <w:t>interRAI</w:t>
      </w:r>
      <w:proofErr w:type="spellEnd"/>
      <w:r w:rsidRPr="00D734B7">
        <w:rPr>
          <w:color w:val="000000" w:themeColor="text1"/>
        </w:rPr>
        <w:t xml:space="preserve"> Home Care Instrument is explained on page 12 of the manual.</w:t>
      </w:r>
    </w:p>
    <w:p w14:paraId="345D4327" w14:textId="77777777" w:rsidR="00E1768B" w:rsidRPr="00D734B7" w:rsidRDefault="00E1768B" w:rsidP="00945CAA">
      <w:pPr>
        <w:rPr>
          <w:color w:val="000000" w:themeColor="text1"/>
        </w:rPr>
      </w:pPr>
      <w:r w:rsidRPr="00D734B7">
        <w:rPr>
          <w:color w:val="000000" w:themeColor="text1"/>
        </w:rPr>
        <w:t xml:space="preserve">The </w:t>
      </w:r>
      <w:proofErr w:type="spellStart"/>
      <w:r w:rsidRPr="00D734B7">
        <w:rPr>
          <w:color w:val="000000" w:themeColor="text1"/>
        </w:rPr>
        <w:t>interRAI</w:t>
      </w:r>
      <w:proofErr w:type="spellEnd"/>
      <w:r w:rsidRPr="00D734B7">
        <w:rPr>
          <w:color w:val="000000" w:themeColor="text1"/>
        </w:rPr>
        <w:t xml:space="preserve"> HCI:</w:t>
      </w:r>
    </w:p>
    <w:p w14:paraId="78E5F29A" w14:textId="77777777" w:rsidR="00E1768B" w:rsidRPr="00D734B7" w:rsidRDefault="00E1768B" w:rsidP="00E1768B">
      <w:pPr>
        <w:pStyle w:val="ListParagraph"/>
        <w:numPr>
          <w:ilvl w:val="0"/>
          <w:numId w:val="12"/>
        </w:numPr>
        <w:rPr>
          <w:color w:val="000000" w:themeColor="text1"/>
        </w:rPr>
      </w:pPr>
      <w:r w:rsidRPr="00D734B7">
        <w:rPr>
          <w:color w:val="000000" w:themeColor="text1"/>
        </w:rPr>
        <w:t>Measures a person’s objective performance and capacity in a variety of areas.</w:t>
      </w:r>
    </w:p>
    <w:p w14:paraId="2898EA12" w14:textId="77777777" w:rsidR="00E1768B" w:rsidRPr="00D734B7" w:rsidRDefault="00E1768B" w:rsidP="00E1768B">
      <w:pPr>
        <w:pStyle w:val="ListParagraph"/>
        <w:numPr>
          <w:ilvl w:val="0"/>
          <w:numId w:val="12"/>
        </w:numPr>
        <w:rPr>
          <w:color w:val="000000" w:themeColor="text1"/>
        </w:rPr>
      </w:pPr>
      <w:r w:rsidRPr="00D734B7">
        <w:rPr>
          <w:color w:val="000000" w:themeColor="text1"/>
        </w:rPr>
        <w:t>Requires communication with the person and primary caregivers or family, though the person is the primary source of information.</w:t>
      </w:r>
    </w:p>
    <w:p w14:paraId="0D586C37" w14:textId="77777777" w:rsidR="00E1768B" w:rsidRPr="00D734B7" w:rsidRDefault="00E1768B" w:rsidP="00E1768B">
      <w:pPr>
        <w:pStyle w:val="ListParagraph"/>
        <w:numPr>
          <w:ilvl w:val="0"/>
          <w:numId w:val="12"/>
        </w:numPr>
        <w:rPr>
          <w:color w:val="000000" w:themeColor="text1"/>
        </w:rPr>
      </w:pPr>
      <w:r w:rsidRPr="00D734B7">
        <w:rPr>
          <w:color w:val="000000" w:themeColor="text1"/>
        </w:rPr>
        <w:t>Requires observation of the person in the home environment.</w:t>
      </w:r>
    </w:p>
    <w:p w14:paraId="143C2BE3" w14:textId="77777777" w:rsidR="00E1768B" w:rsidRPr="00D734B7" w:rsidRDefault="00E1768B" w:rsidP="0088174E">
      <w:pPr>
        <w:rPr>
          <w:rFonts w:ascii="Microsoft Sans Serif" w:hAnsi="Microsoft Sans Serif" w:cs="Microsoft Sans Serif"/>
          <w:color w:val="000000" w:themeColor="text1"/>
          <w:sz w:val="17"/>
          <w:szCs w:val="17"/>
        </w:rPr>
      </w:pPr>
      <w:r w:rsidRPr="00D734B7">
        <w:rPr>
          <w:color w:val="000000" w:themeColor="text1"/>
        </w:rPr>
        <w:t>Sometimes, the assessor must reconcile multiple sources of information, yielding inconsistent results</w:t>
      </w:r>
    </w:p>
    <w:p w14:paraId="4E27EF08" w14:textId="19F11C54" w:rsidR="00A615A0" w:rsidRPr="00D734B7" w:rsidRDefault="00E1768B" w:rsidP="00E6205B">
      <w:pPr>
        <w:pStyle w:val="Heading3"/>
        <w:rPr>
          <w:color w:val="000000" w:themeColor="text1"/>
        </w:rPr>
      </w:pPr>
      <w:bookmarkStart w:id="66" w:name="_Toc215931906"/>
      <w:r w:rsidRPr="00D734B7">
        <w:rPr>
          <w:color w:val="000000" w:themeColor="text1"/>
        </w:rPr>
        <w:t>Assessment Administration</w:t>
      </w:r>
      <w:bookmarkEnd w:id="66"/>
    </w:p>
    <w:p w14:paraId="6DEA9965" w14:textId="77777777" w:rsidR="00E1768B" w:rsidRPr="00D734B7" w:rsidRDefault="00E1768B" w:rsidP="00945CAA">
      <w:pPr>
        <w:rPr>
          <w:color w:val="000000" w:themeColor="text1"/>
        </w:rPr>
      </w:pPr>
      <w:r w:rsidRPr="00D734B7">
        <w:rPr>
          <w:color w:val="000000" w:themeColor="text1"/>
        </w:rPr>
        <w:t>Assessors:</w:t>
      </w:r>
    </w:p>
    <w:p w14:paraId="5C0BBB57" w14:textId="77777777" w:rsidR="00E1768B" w:rsidRPr="00D734B7" w:rsidRDefault="00E1768B" w:rsidP="00E1768B">
      <w:pPr>
        <w:pStyle w:val="ListParagraph"/>
        <w:numPr>
          <w:ilvl w:val="0"/>
          <w:numId w:val="13"/>
        </w:numPr>
        <w:rPr>
          <w:color w:val="000000" w:themeColor="text1"/>
        </w:rPr>
      </w:pPr>
      <w:r w:rsidRPr="00D734B7">
        <w:rPr>
          <w:color w:val="000000" w:themeColor="text1"/>
        </w:rPr>
        <w:t>Use clinical professional judgement, specialized knowledge, and experience in the scoring and coding process.</w:t>
      </w:r>
    </w:p>
    <w:p w14:paraId="491ED7FD" w14:textId="77777777" w:rsidR="00E1768B" w:rsidRPr="00D734B7" w:rsidRDefault="00E1768B" w:rsidP="00E1768B">
      <w:pPr>
        <w:pStyle w:val="ListParagraph"/>
        <w:numPr>
          <w:ilvl w:val="0"/>
          <w:numId w:val="13"/>
        </w:numPr>
        <w:rPr>
          <w:color w:val="000000" w:themeColor="text1"/>
        </w:rPr>
      </w:pPr>
      <w:r w:rsidRPr="00D734B7">
        <w:rPr>
          <w:color w:val="000000" w:themeColor="text1"/>
        </w:rPr>
        <w:t>Ensure that the scoring/coding accurately reflects the observed and demonstrated levels of capacity and/or performance.</w:t>
      </w:r>
    </w:p>
    <w:p w14:paraId="3F50E784" w14:textId="77777777" w:rsidR="00E1768B" w:rsidRPr="00D734B7" w:rsidRDefault="00E1768B" w:rsidP="00E1768B">
      <w:pPr>
        <w:pStyle w:val="ListParagraph"/>
        <w:numPr>
          <w:ilvl w:val="0"/>
          <w:numId w:val="13"/>
        </w:numPr>
        <w:rPr>
          <w:color w:val="000000" w:themeColor="text1"/>
        </w:rPr>
      </w:pPr>
      <w:r w:rsidRPr="00D734B7">
        <w:rPr>
          <w:color w:val="000000" w:themeColor="text1"/>
        </w:rPr>
        <w:t>Complete coding and scoring based on conversations and observations.</w:t>
      </w:r>
    </w:p>
    <w:p w14:paraId="183596D6" w14:textId="77777777" w:rsidR="00E1768B" w:rsidRPr="00D734B7" w:rsidRDefault="00E1768B" w:rsidP="00945CAA">
      <w:pPr>
        <w:rPr>
          <w:color w:val="000000" w:themeColor="text1"/>
        </w:rPr>
      </w:pPr>
      <w:r w:rsidRPr="00D734B7">
        <w:rPr>
          <w:color w:val="000000" w:themeColor="text1"/>
        </w:rPr>
        <w:lastRenderedPageBreak/>
        <w:t>There is no “right” order. Complete the assessment based on where the participant takes the conversation. As a reminder, base coding on a three-day observation period defined as the assessment date and the two days prior.</w:t>
      </w:r>
    </w:p>
    <w:p w14:paraId="1A7BD79F" w14:textId="77777777" w:rsidR="00E1768B" w:rsidRPr="00D734B7" w:rsidRDefault="00E1768B" w:rsidP="00945CAA">
      <w:pPr>
        <w:rPr>
          <w:rFonts w:ascii="Microsoft Sans Serif" w:hAnsi="Microsoft Sans Serif" w:cs="Microsoft Sans Serif"/>
          <w:color w:val="000000" w:themeColor="text1"/>
          <w:sz w:val="17"/>
          <w:szCs w:val="17"/>
        </w:rPr>
      </w:pPr>
      <w:r w:rsidRPr="00D734B7">
        <w:rPr>
          <w:color w:val="000000" w:themeColor="text1"/>
        </w:rPr>
        <w:t>Now, let’s see what you’ve learned with a quick knowledge check.</w:t>
      </w:r>
    </w:p>
    <w:p w14:paraId="09F09B12" w14:textId="3A577A82" w:rsidR="00A615A0" w:rsidRPr="00D734B7" w:rsidRDefault="00E1768B">
      <w:pPr>
        <w:pStyle w:val="Heading2"/>
        <w:rPr>
          <w:color w:val="000000" w:themeColor="text1"/>
        </w:rPr>
      </w:pPr>
      <w:bookmarkStart w:id="67" w:name="_Toc215931907"/>
      <w:r w:rsidRPr="00D734B7">
        <w:rPr>
          <w:color w:val="000000" w:themeColor="text1"/>
        </w:rPr>
        <w:t>Knowledge Check</w:t>
      </w:r>
      <w:bookmarkEnd w:id="67"/>
    </w:p>
    <w:p w14:paraId="142C377D" w14:textId="77777777" w:rsidR="00097AA8" w:rsidRPr="00D734B7" w:rsidRDefault="00097AA8" w:rsidP="00097AA8">
      <w:pPr>
        <w:rPr>
          <w:color w:val="000000" w:themeColor="text1"/>
        </w:rPr>
      </w:pPr>
      <w:r w:rsidRPr="00D734B7">
        <w:rPr>
          <w:color w:val="000000" w:themeColor="text1"/>
        </w:rPr>
        <w:t>Now take a moment to answer these review questions.</w:t>
      </w:r>
    </w:p>
    <w:p w14:paraId="73BEA8AD" w14:textId="77777777" w:rsidR="00C569C6" w:rsidRPr="00D734B7" w:rsidRDefault="00C569C6" w:rsidP="00E6205B">
      <w:pPr>
        <w:rPr>
          <w:color w:val="000000" w:themeColor="text1"/>
        </w:rPr>
      </w:pPr>
      <w:r w:rsidRPr="00D734B7">
        <w:rPr>
          <w:color w:val="000000" w:themeColor="text1"/>
        </w:rPr>
        <w:t>1. The assessment reference date is used to determine the three-day observation window.</w:t>
      </w:r>
    </w:p>
    <w:p w14:paraId="7459F6B2" w14:textId="77777777" w:rsidR="00C569C6" w:rsidRPr="00D734B7" w:rsidRDefault="00C569C6" w:rsidP="00C569C6">
      <w:pPr>
        <w:rPr>
          <w:color w:val="000000" w:themeColor="text1"/>
        </w:rPr>
      </w:pPr>
      <w:r w:rsidRPr="00D734B7">
        <w:rPr>
          <w:color w:val="000000" w:themeColor="text1"/>
        </w:rPr>
        <w:t>True</w:t>
      </w:r>
    </w:p>
    <w:p w14:paraId="3A5A02A0" w14:textId="77777777" w:rsidR="00C569C6" w:rsidRPr="00D734B7" w:rsidRDefault="00C569C6" w:rsidP="00C569C6">
      <w:pPr>
        <w:rPr>
          <w:color w:val="000000" w:themeColor="text1"/>
        </w:rPr>
      </w:pPr>
      <w:r w:rsidRPr="00D734B7">
        <w:rPr>
          <w:color w:val="000000" w:themeColor="text1"/>
        </w:rPr>
        <w:t>False</w:t>
      </w:r>
    </w:p>
    <w:p w14:paraId="2A23869F" w14:textId="77777777" w:rsidR="00C569C6" w:rsidRPr="00D734B7" w:rsidRDefault="00C569C6" w:rsidP="00C569C6">
      <w:pPr>
        <w:rPr>
          <w:color w:val="000000" w:themeColor="text1"/>
        </w:rPr>
      </w:pPr>
      <w:r w:rsidRPr="00D734B7">
        <w:rPr>
          <w:color w:val="000000" w:themeColor="text1"/>
        </w:rPr>
        <w:t>Please pause and consider your response.</w:t>
      </w:r>
    </w:p>
    <w:p w14:paraId="2FF05B14" w14:textId="77777777" w:rsidR="00C569C6" w:rsidRPr="00D734B7" w:rsidRDefault="00C569C6" w:rsidP="00C569C6">
      <w:pPr>
        <w:rPr>
          <w:color w:val="000000" w:themeColor="text1"/>
        </w:rPr>
      </w:pPr>
      <w:r w:rsidRPr="00D734B7">
        <w:rPr>
          <w:color w:val="000000" w:themeColor="text1"/>
        </w:rPr>
        <w:t>The correct response is true. The assessment reference date is used to determine the three-day observation window.</w:t>
      </w:r>
    </w:p>
    <w:p w14:paraId="32E2D586" w14:textId="77777777" w:rsidR="00C569C6" w:rsidRPr="00D734B7" w:rsidRDefault="00C569C6" w:rsidP="00E6205B">
      <w:pPr>
        <w:rPr>
          <w:color w:val="000000" w:themeColor="text1"/>
        </w:rPr>
      </w:pPr>
      <w:r w:rsidRPr="00D734B7">
        <w:rPr>
          <w:color w:val="000000" w:themeColor="text1"/>
        </w:rPr>
        <w:t>2. The three-day observation window refers to the 72-hour rolling window from the time of the assessment meeting.</w:t>
      </w:r>
    </w:p>
    <w:p w14:paraId="4326458E" w14:textId="77777777" w:rsidR="00C569C6" w:rsidRPr="00D734B7" w:rsidRDefault="00C569C6" w:rsidP="00E6205B">
      <w:pPr>
        <w:rPr>
          <w:color w:val="000000" w:themeColor="text1"/>
        </w:rPr>
      </w:pPr>
      <w:r w:rsidRPr="00D734B7">
        <w:rPr>
          <w:color w:val="000000" w:themeColor="text1"/>
        </w:rPr>
        <w:t>True</w:t>
      </w:r>
    </w:p>
    <w:p w14:paraId="2E472431" w14:textId="77777777" w:rsidR="00C569C6" w:rsidRPr="00D734B7" w:rsidRDefault="00C569C6" w:rsidP="00E6205B">
      <w:pPr>
        <w:rPr>
          <w:color w:val="000000" w:themeColor="text1"/>
        </w:rPr>
      </w:pPr>
      <w:r w:rsidRPr="00D734B7">
        <w:rPr>
          <w:color w:val="000000" w:themeColor="text1"/>
        </w:rPr>
        <w:t>False</w:t>
      </w:r>
    </w:p>
    <w:p w14:paraId="7A4429D7" w14:textId="77777777" w:rsidR="00C569C6" w:rsidRPr="00D734B7" w:rsidRDefault="00C569C6" w:rsidP="00E6205B">
      <w:pPr>
        <w:rPr>
          <w:color w:val="000000" w:themeColor="text1"/>
        </w:rPr>
      </w:pPr>
      <w:r w:rsidRPr="00D734B7">
        <w:rPr>
          <w:color w:val="000000" w:themeColor="text1"/>
        </w:rPr>
        <w:t>Please pause and consider your response.</w:t>
      </w:r>
    </w:p>
    <w:p w14:paraId="2406063B" w14:textId="77777777" w:rsidR="00C569C6" w:rsidRPr="00D734B7" w:rsidRDefault="00C569C6" w:rsidP="00E6205B">
      <w:pPr>
        <w:rPr>
          <w:color w:val="000000" w:themeColor="text1"/>
        </w:rPr>
      </w:pPr>
      <w:r w:rsidRPr="00D734B7">
        <w:rPr>
          <w:color w:val="000000" w:themeColor="text1"/>
        </w:rPr>
        <w:t xml:space="preserve">The correct response is false. The three-day window is based on calendar days, not hours. It includes the assessment reference date even </w:t>
      </w:r>
      <w:proofErr w:type="spellStart"/>
      <w:r w:rsidRPr="00D734B7">
        <w:rPr>
          <w:color w:val="000000" w:themeColor="text1"/>
        </w:rPr>
        <w:t>it</w:t>
      </w:r>
      <w:proofErr w:type="spellEnd"/>
      <w:r w:rsidRPr="00D734B7">
        <w:rPr>
          <w:color w:val="000000" w:themeColor="text1"/>
        </w:rPr>
        <w:t xml:space="preserve"> the meeting is early in the morning.</w:t>
      </w:r>
    </w:p>
    <w:p w14:paraId="1629D948" w14:textId="77777777" w:rsidR="00C569C6" w:rsidRPr="00D734B7" w:rsidRDefault="00C569C6" w:rsidP="00E6205B">
      <w:pPr>
        <w:rPr>
          <w:color w:val="000000" w:themeColor="text1"/>
        </w:rPr>
      </w:pPr>
      <w:r w:rsidRPr="00D734B7">
        <w:rPr>
          <w:color w:val="000000" w:themeColor="text1"/>
        </w:rPr>
        <w:t>3. If a person did not bathe in the observation window because they need a caregiver to fully assist them and the caregiver was not scheduled to come, the activity would be coded as a “6” for completely dependent.</w:t>
      </w:r>
    </w:p>
    <w:p w14:paraId="5E815C72" w14:textId="77777777" w:rsidR="00C569C6" w:rsidRPr="00D734B7" w:rsidRDefault="00C569C6" w:rsidP="00E6205B">
      <w:pPr>
        <w:rPr>
          <w:color w:val="000000" w:themeColor="text1"/>
        </w:rPr>
      </w:pPr>
      <w:r w:rsidRPr="00D734B7">
        <w:rPr>
          <w:color w:val="000000" w:themeColor="text1"/>
        </w:rPr>
        <w:t>True</w:t>
      </w:r>
    </w:p>
    <w:p w14:paraId="23C47195" w14:textId="77777777" w:rsidR="00C569C6" w:rsidRPr="00D734B7" w:rsidRDefault="00C569C6" w:rsidP="00E6205B">
      <w:pPr>
        <w:rPr>
          <w:color w:val="000000" w:themeColor="text1"/>
        </w:rPr>
      </w:pPr>
      <w:r w:rsidRPr="00D734B7">
        <w:rPr>
          <w:color w:val="000000" w:themeColor="text1"/>
        </w:rPr>
        <w:t>False</w:t>
      </w:r>
    </w:p>
    <w:p w14:paraId="424637BF" w14:textId="77777777" w:rsidR="00C569C6" w:rsidRPr="00D734B7" w:rsidRDefault="00C569C6" w:rsidP="00E6205B">
      <w:pPr>
        <w:rPr>
          <w:color w:val="000000" w:themeColor="text1"/>
        </w:rPr>
      </w:pPr>
      <w:r w:rsidRPr="00D734B7">
        <w:rPr>
          <w:color w:val="000000" w:themeColor="text1"/>
        </w:rPr>
        <w:t>Please pause and consider your response.</w:t>
      </w:r>
    </w:p>
    <w:p w14:paraId="1AD57354" w14:textId="77777777" w:rsidR="00C569C6" w:rsidRPr="00D734B7" w:rsidRDefault="00C569C6" w:rsidP="00E6205B">
      <w:pPr>
        <w:rPr>
          <w:color w:val="000000" w:themeColor="text1"/>
        </w:rPr>
      </w:pPr>
      <w:r w:rsidRPr="00D734B7">
        <w:rPr>
          <w:color w:val="000000" w:themeColor="text1"/>
        </w:rPr>
        <w:t>The correct response is false. It would be coded as “8” for Activity Did Not Occur. The assessor could provide the reason in the comments.</w:t>
      </w:r>
    </w:p>
    <w:p w14:paraId="09B6284C" w14:textId="77777777" w:rsidR="00C569C6" w:rsidRPr="00D734B7" w:rsidRDefault="00C569C6" w:rsidP="00E6205B">
      <w:pPr>
        <w:rPr>
          <w:color w:val="000000" w:themeColor="text1"/>
        </w:rPr>
      </w:pPr>
      <w:r w:rsidRPr="00D734B7">
        <w:rPr>
          <w:color w:val="000000" w:themeColor="text1"/>
        </w:rPr>
        <w:t>4. NFCE scoring is based on partial and full deficits.</w:t>
      </w:r>
    </w:p>
    <w:p w14:paraId="2C34A9BA" w14:textId="77777777" w:rsidR="00C569C6" w:rsidRPr="00D734B7" w:rsidRDefault="00C569C6" w:rsidP="00E6205B">
      <w:pPr>
        <w:rPr>
          <w:color w:val="000000" w:themeColor="text1"/>
        </w:rPr>
      </w:pPr>
      <w:r w:rsidRPr="00D734B7">
        <w:rPr>
          <w:color w:val="000000" w:themeColor="text1"/>
        </w:rPr>
        <w:lastRenderedPageBreak/>
        <w:t>True</w:t>
      </w:r>
    </w:p>
    <w:p w14:paraId="7B600E4C" w14:textId="77777777" w:rsidR="00C569C6" w:rsidRPr="00D734B7" w:rsidRDefault="00C569C6" w:rsidP="00E6205B">
      <w:pPr>
        <w:rPr>
          <w:color w:val="000000" w:themeColor="text1"/>
        </w:rPr>
      </w:pPr>
      <w:r w:rsidRPr="00D734B7">
        <w:rPr>
          <w:color w:val="000000" w:themeColor="text1"/>
        </w:rPr>
        <w:t>False</w:t>
      </w:r>
    </w:p>
    <w:p w14:paraId="2F116F9F" w14:textId="77777777" w:rsidR="00C569C6" w:rsidRPr="00D734B7" w:rsidRDefault="00C569C6" w:rsidP="00E6205B">
      <w:pPr>
        <w:rPr>
          <w:color w:val="000000" w:themeColor="text1"/>
        </w:rPr>
      </w:pPr>
      <w:r w:rsidRPr="00D734B7">
        <w:rPr>
          <w:color w:val="000000" w:themeColor="text1"/>
        </w:rPr>
        <w:t>Please pause and consider your response.</w:t>
      </w:r>
    </w:p>
    <w:p w14:paraId="4AF403E6" w14:textId="77777777" w:rsidR="00C569C6" w:rsidRPr="00D734B7" w:rsidRDefault="00C569C6" w:rsidP="00E6205B">
      <w:pPr>
        <w:rPr>
          <w:color w:val="000000" w:themeColor="text1"/>
        </w:rPr>
      </w:pPr>
      <w:r w:rsidRPr="00D734B7">
        <w:rPr>
          <w:color w:val="000000" w:themeColor="text1"/>
        </w:rPr>
        <w:t>The correct response is true. NFCE scoring is based on partial and full deficits.</w:t>
      </w:r>
    </w:p>
    <w:p w14:paraId="0E465FEE" w14:textId="77777777" w:rsidR="00C569C6" w:rsidRPr="00D734B7" w:rsidRDefault="00C569C6" w:rsidP="00E6205B">
      <w:pPr>
        <w:rPr>
          <w:color w:val="000000" w:themeColor="text1"/>
        </w:rPr>
      </w:pPr>
      <w:r w:rsidRPr="00D734B7">
        <w:rPr>
          <w:color w:val="000000" w:themeColor="text1"/>
        </w:rPr>
        <w:t xml:space="preserve">5. Because the FED is in a PDF document, it has no relation to the </w:t>
      </w:r>
      <w:proofErr w:type="spellStart"/>
      <w:r w:rsidRPr="00D734B7">
        <w:rPr>
          <w:color w:val="000000" w:themeColor="text1"/>
        </w:rPr>
        <w:t>interRAI</w:t>
      </w:r>
      <w:proofErr w:type="spellEnd"/>
      <w:r w:rsidRPr="00D734B7">
        <w:rPr>
          <w:color w:val="000000" w:themeColor="text1"/>
        </w:rPr>
        <w:t xml:space="preserve"> Assessment Tool.</w:t>
      </w:r>
    </w:p>
    <w:p w14:paraId="3CDAEAFA" w14:textId="77777777" w:rsidR="00C569C6" w:rsidRPr="00D734B7" w:rsidRDefault="00C569C6" w:rsidP="00E6205B">
      <w:pPr>
        <w:rPr>
          <w:color w:val="000000" w:themeColor="text1"/>
        </w:rPr>
      </w:pPr>
      <w:r w:rsidRPr="00D734B7">
        <w:rPr>
          <w:color w:val="000000" w:themeColor="text1"/>
        </w:rPr>
        <w:t>True</w:t>
      </w:r>
    </w:p>
    <w:p w14:paraId="35755788" w14:textId="77777777" w:rsidR="00C569C6" w:rsidRPr="00D734B7" w:rsidRDefault="00C569C6" w:rsidP="00E6205B">
      <w:pPr>
        <w:rPr>
          <w:color w:val="000000" w:themeColor="text1"/>
        </w:rPr>
      </w:pPr>
      <w:r w:rsidRPr="00D734B7">
        <w:rPr>
          <w:color w:val="000000" w:themeColor="text1"/>
        </w:rPr>
        <w:t>False</w:t>
      </w:r>
    </w:p>
    <w:p w14:paraId="71ABC6A8" w14:textId="77777777" w:rsidR="00C569C6" w:rsidRPr="00D734B7" w:rsidRDefault="00C569C6" w:rsidP="00E6205B">
      <w:pPr>
        <w:rPr>
          <w:color w:val="000000" w:themeColor="text1"/>
        </w:rPr>
      </w:pPr>
      <w:r w:rsidRPr="00D734B7">
        <w:rPr>
          <w:color w:val="000000" w:themeColor="text1"/>
        </w:rPr>
        <w:t>Please pause and consider your response.</w:t>
      </w:r>
    </w:p>
    <w:p w14:paraId="65F11B75" w14:textId="77777777" w:rsidR="00C569C6" w:rsidRPr="00D734B7" w:rsidRDefault="00C569C6" w:rsidP="00E6205B">
      <w:pPr>
        <w:rPr>
          <w:color w:val="000000" w:themeColor="text1"/>
        </w:rPr>
      </w:pPr>
      <w:r w:rsidRPr="00D734B7">
        <w:rPr>
          <w:color w:val="000000" w:themeColor="text1"/>
        </w:rPr>
        <w:t>The correct response is false. The categories and activities are the same and should be consistently assessed regardless of the assessor or the reason for the assessment.</w:t>
      </w:r>
    </w:p>
    <w:p w14:paraId="6DB73E3A" w14:textId="47CB229A" w:rsidR="00C569C6" w:rsidRPr="00D734B7" w:rsidRDefault="00C569C6" w:rsidP="00E6205B">
      <w:pPr>
        <w:rPr>
          <w:color w:val="000000" w:themeColor="text1"/>
        </w:rPr>
      </w:pPr>
      <w:r w:rsidRPr="00D734B7">
        <w:rPr>
          <w:color w:val="000000" w:themeColor="text1"/>
        </w:rPr>
        <w:t>6. Aging Well PA is the organization whose assessors determine initial eligibility for Community HealthChoices.</w:t>
      </w:r>
    </w:p>
    <w:p w14:paraId="29DB3866" w14:textId="77777777" w:rsidR="00C569C6" w:rsidRPr="00D734B7" w:rsidRDefault="00C569C6" w:rsidP="00E6205B">
      <w:pPr>
        <w:rPr>
          <w:color w:val="000000" w:themeColor="text1"/>
        </w:rPr>
      </w:pPr>
      <w:r w:rsidRPr="00D734B7">
        <w:rPr>
          <w:color w:val="000000" w:themeColor="text1"/>
        </w:rPr>
        <w:t>True</w:t>
      </w:r>
    </w:p>
    <w:p w14:paraId="5A0F684F" w14:textId="77777777" w:rsidR="00C569C6" w:rsidRPr="00D734B7" w:rsidRDefault="00C569C6" w:rsidP="00E6205B">
      <w:pPr>
        <w:rPr>
          <w:color w:val="000000" w:themeColor="text1"/>
        </w:rPr>
      </w:pPr>
      <w:r w:rsidRPr="00D734B7">
        <w:rPr>
          <w:color w:val="000000" w:themeColor="text1"/>
        </w:rPr>
        <w:t>False</w:t>
      </w:r>
    </w:p>
    <w:p w14:paraId="1C2194F0" w14:textId="77777777" w:rsidR="00C569C6" w:rsidRPr="00D734B7" w:rsidRDefault="00C569C6" w:rsidP="00E6205B">
      <w:pPr>
        <w:rPr>
          <w:color w:val="000000" w:themeColor="text1"/>
        </w:rPr>
      </w:pPr>
      <w:r w:rsidRPr="00D734B7">
        <w:rPr>
          <w:color w:val="000000" w:themeColor="text1"/>
        </w:rPr>
        <w:t>Please pause and consider your response.</w:t>
      </w:r>
    </w:p>
    <w:p w14:paraId="4F5B86CA" w14:textId="77777777" w:rsidR="00C569C6" w:rsidRPr="00D734B7" w:rsidRDefault="00C569C6" w:rsidP="00E6205B">
      <w:pPr>
        <w:rPr>
          <w:color w:val="000000" w:themeColor="text1"/>
        </w:rPr>
      </w:pPr>
      <w:r w:rsidRPr="00D734B7">
        <w:rPr>
          <w:color w:val="000000" w:themeColor="text1"/>
        </w:rPr>
        <w:t>The correct response is true. Aging Well PA is the organization whose assessors determine initial eligibility for Community HealthChoices.</w:t>
      </w:r>
    </w:p>
    <w:p w14:paraId="054ED7CA" w14:textId="774F67FD" w:rsidR="00C569C6" w:rsidRPr="00D734B7" w:rsidRDefault="00C569C6" w:rsidP="00E6205B">
      <w:pPr>
        <w:rPr>
          <w:color w:val="000000" w:themeColor="text1"/>
        </w:rPr>
      </w:pPr>
      <w:r w:rsidRPr="00D734B7">
        <w:rPr>
          <w:color w:val="000000" w:themeColor="text1"/>
        </w:rPr>
        <w:t>7 MCO assessors (typically service coordinators) assess participants in 365-day intervals or if there is a trigger event.</w:t>
      </w:r>
    </w:p>
    <w:p w14:paraId="3CB92325" w14:textId="77777777" w:rsidR="00C569C6" w:rsidRPr="00D734B7" w:rsidRDefault="00C569C6" w:rsidP="00E6205B">
      <w:pPr>
        <w:rPr>
          <w:color w:val="000000" w:themeColor="text1"/>
        </w:rPr>
      </w:pPr>
      <w:r w:rsidRPr="00D734B7">
        <w:rPr>
          <w:color w:val="000000" w:themeColor="text1"/>
        </w:rPr>
        <w:t>True</w:t>
      </w:r>
    </w:p>
    <w:p w14:paraId="25861637" w14:textId="77777777" w:rsidR="00C569C6" w:rsidRPr="00D734B7" w:rsidRDefault="00C569C6" w:rsidP="00E6205B">
      <w:pPr>
        <w:rPr>
          <w:color w:val="000000" w:themeColor="text1"/>
        </w:rPr>
      </w:pPr>
      <w:r w:rsidRPr="00D734B7">
        <w:rPr>
          <w:color w:val="000000" w:themeColor="text1"/>
        </w:rPr>
        <w:t>False</w:t>
      </w:r>
    </w:p>
    <w:p w14:paraId="240EF24E" w14:textId="77777777" w:rsidR="00C569C6" w:rsidRPr="00D734B7" w:rsidRDefault="00C569C6" w:rsidP="00E6205B">
      <w:pPr>
        <w:rPr>
          <w:color w:val="000000" w:themeColor="text1"/>
        </w:rPr>
      </w:pPr>
      <w:r w:rsidRPr="00D734B7">
        <w:rPr>
          <w:color w:val="000000" w:themeColor="text1"/>
        </w:rPr>
        <w:t>Please pause and consider your response.</w:t>
      </w:r>
    </w:p>
    <w:p w14:paraId="6C726842" w14:textId="77777777" w:rsidR="00C569C6" w:rsidRPr="00D734B7" w:rsidRDefault="00C569C6" w:rsidP="00E6205B">
      <w:pPr>
        <w:rPr>
          <w:color w:val="000000" w:themeColor="text1"/>
        </w:rPr>
      </w:pPr>
      <w:r w:rsidRPr="00D734B7">
        <w:rPr>
          <w:color w:val="000000" w:themeColor="text1"/>
        </w:rPr>
        <w:t>The correct response is true. MCO assessors (typically service coordinators) assess participants in 365-day intervals or if there is a trigger event.</w:t>
      </w:r>
    </w:p>
    <w:p w14:paraId="5F07188B" w14:textId="226C350A" w:rsidR="00A615A0" w:rsidRPr="00D734B7" w:rsidRDefault="00E1768B" w:rsidP="00E6205B">
      <w:pPr>
        <w:pStyle w:val="Heading2"/>
        <w:rPr>
          <w:color w:val="000000" w:themeColor="text1"/>
        </w:rPr>
      </w:pPr>
      <w:bookmarkStart w:id="68" w:name="_Toc215931908"/>
      <w:r w:rsidRPr="00D734B7">
        <w:rPr>
          <w:color w:val="000000" w:themeColor="text1"/>
        </w:rPr>
        <w:t>Conclusion &amp; Next Steps</w:t>
      </w:r>
      <w:bookmarkEnd w:id="68"/>
    </w:p>
    <w:p w14:paraId="72317C72" w14:textId="3962BF6B" w:rsidR="00E1768B" w:rsidRPr="00D734B7" w:rsidRDefault="00E67A9C" w:rsidP="00E6205B">
      <w:pPr>
        <w:rPr>
          <w:rFonts w:ascii="Microsoft Sans Serif" w:hAnsi="Microsoft Sans Serif" w:cs="Microsoft Sans Serif"/>
          <w:color w:val="000000" w:themeColor="text1"/>
          <w:sz w:val="17"/>
          <w:szCs w:val="17"/>
        </w:rPr>
      </w:pPr>
      <w:r w:rsidRPr="00D734B7">
        <w:rPr>
          <w:color w:val="000000" w:themeColor="text1"/>
        </w:rPr>
        <w:t xml:space="preserve">Thank you for completing the </w:t>
      </w:r>
      <w:proofErr w:type="spellStart"/>
      <w:r w:rsidRPr="00D734B7">
        <w:rPr>
          <w:color w:val="000000" w:themeColor="text1"/>
        </w:rPr>
        <w:t>interRAI</w:t>
      </w:r>
      <w:proofErr w:type="spellEnd"/>
      <w:r w:rsidRPr="00D734B7">
        <w:rPr>
          <w:color w:val="000000" w:themeColor="text1"/>
        </w:rPr>
        <w:t xml:space="preserve"> Version 9 training. Please do look for additional training opportunities in 2026 as Version 10 is rolled out. To register completion of this training, you must watch the online course and then complete an online form. After </w:t>
      </w:r>
      <w:r w:rsidRPr="00D734B7">
        <w:rPr>
          <w:color w:val="000000" w:themeColor="text1"/>
        </w:rPr>
        <w:lastRenderedPageBreak/>
        <w:t>submitting the form, a certificate will be generated for you. Click the “Print” link to access a print-friendly version of your certificate.</w:t>
      </w:r>
    </w:p>
    <w:sectPr w:rsidR="00E1768B" w:rsidRPr="00D734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3FDD" w14:textId="77777777" w:rsidR="00A3318D" w:rsidRDefault="00A3318D" w:rsidP="00BF48BE">
      <w:r>
        <w:separator/>
      </w:r>
    </w:p>
  </w:endnote>
  <w:endnote w:type="continuationSeparator" w:id="0">
    <w:p w14:paraId="3840B0F4" w14:textId="77777777" w:rsidR="00A3318D" w:rsidRDefault="00A3318D" w:rsidP="00BF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2408" w14:textId="35827269" w:rsidR="009D6725" w:rsidRDefault="009D6725" w:rsidP="009D672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5CB5" w14:textId="77777777" w:rsidR="00A3318D" w:rsidRDefault="00A3318D" w:rsidP="00BF48BE">
      <w:r>
        <w:separator/>
      </w:r>
    </w:p>
  </w:footnote>
  <w:footnote w:type="continuationSeparator" w:id="0">
    <w:p w14:paraId="52D0978B" w14:textId="77777777" w:rsidR="00A3318D" w:rsidRDefault="00A3318D" w:rsidP="00BF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684BB6"/>
    <w:lvl w:ilvl="0">
      <w:numFmt w:val="bullet"/>
      <w:lvlText w:val="*"/>
      <w:lvlJc w:val="left"/>
    </w:lvl>
  </w:abstractNum>
  <w:abstractNum w:abstractNumId="1" w15:restartNumberingAfterBreak="0">
    <w:nsid w:val="00061F1C"/>
    <w:multiLevelType w:val="hybridMultilevel"/>
    <w:tmpl w:val="603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D7032"/>
    <w:multiLevelType w:val="hybridMultilevel"/>
    <w:tmpl w:val="DB04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A4F3A"/>
    <w:multiLevelType w:val="hybridMultilevel"/>
    <w:tmpl w:val="5C1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D0369"/>
    <w:multiLevelType w:val="hybridMultilevel"/>
    <w:tmpl w:val="EC0E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7123A"/>
    <w:multiLevelType w:val="hybridMultilevel"/>
    <w:tmpl w:val="E6B0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36078"/>
    <w:multiLevelType w:val="hybridMultilevel"/>
    <w:tmpl w:val="3882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B5570"/>
    <w:multiLevelType w:val="hybridMultilevel"/>
    <w:tmpl w:val="F49C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D37A4"/>
    <w:multiLevelType w:val="hybridMultilevel"/>
    <w:tmpl w:val="9BE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B3C9E"/>
    <w:multiLevelType w:val="hybridMultilevel"/>
    <w:tmpl w:val="909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9190C"/>
    <w:multiLevelType w:val="hybridMultilevel"/>
    <w:tmpl w:val="3B38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26FFE"/>
    <w:multiLevelType w:val="hybridMultilevel"/>
    <w:tmpl w:val="6992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04BA8"/>
    <w:multiLevelType w:val="hybridMultilevel"/>
    <w:tmpl w:val="593A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F2D2F"/>
    <w:multiLevelType w:val="hybridMultilevel"/>
    <w:tmpl w:val="20B2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15681"/>
    <w:multiLevelType w:val="hybridMultilevel"/>
    <w:tmpl w:val="DC1A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944A5"/>
    <w:multiLevelType w:val="hybridMultilevel"/>
    <w:tmpl w:val="567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D2428"/>
    <w:multiLevelType w:val="hybridMultilevel"/>
    <w:tmpl w:val="9F4C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01477">
    <w:abstractNumId w:val="0"/>
    <w:lvlOverride w:ilvl="0">
      <w:lvl w:ilvl="0">
        <w:numFmt w:val="bullet"/>
        <w:lvlText w:val=""/>
        <w:legacy w:legacy="1" w:legacySpace="0" w:legacyIndent="140"/>
        <w:lvlJc w:val="left"/>
        <w:rPr>
          <w:rFonts w:ascii="Symbol" w:hAnsi="Symbol" w:hint="default"/>
        </w:rPr>
      </w:lvl>
    </w:lvlOverride>
  </w:num>
  <w:num w:numId="2" w16cid:durableId="531234986">
    <w:abstractNumId w:val="6"/>
  </w:num>
  <w:num w:numId="3" w16cid:durableId="860781196">
    <w:abstractNumId w:val="4"/>
  </w:num>
  <w:num w:numId="4" w16cid:durableId="1208958519">
    <w:abstractNumId w:val="16"/>
  </w:num>
  <w:num w:numId="5" w16cid:durableId="1936401138">
    <w:abstractNumId w:val="9"/>
  </w:num>
  <w:num w:numId="6" w16cid:durableId="217132126">
    <w:abstractNumId w:val="7"/>
  </w:num>
  <w:num w:numId="7" w16cid:durableId="1427995285">
    <w:abstractNumId w:val="1"/>
  </w:num>
  <w:num w:numId="8" w16cid:durableId="1593930508">
    <w:abstractNumId w:val="15"/>
  </w:num>
  <w:num w:numId="9" w16cid:durableId="879785953">
    <w:abstractNumId w:val="11"/>
  </w:num>
  <w:num w:numId="10" w16cid:durableId="1574654459">
    <w:abstractNumId w:val="10"/>
  </w:num>
  <w:num w:numId="11" w16cid:durableId="884487704">
    <w:abstractNumId w:val="14"/>
  </w:num>
  <w:num w:numId="12" w16cid:durableId="64189361">
    <w:abstractNumId w:val="2"/>
  </w:num>
  <w:num w:numId="13" w16cid:durableId="1564949979">
    <w:abstractNumId w:val="8"/>
  </w:num>
  <w:num w:numId="14" w16cid:durableId="130291521">
    <w:abstractNumId w:val="13"/>
  </w:num>
  <w:num w:numId="15" w16cid:durableId="1520778702">
    <w:abstractNumId w:val="12"/>
  </w:num>
  <w:num w:numId="16" w16cid:durableId="425266904">
    <w:abstractNumId w:val="5"/>
  </w:num>
  <w:num w:numId="17" w16cid:durableId="1436049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BE"/>
    <w:rsid w:val="00011514"/>
    <w:rsid w:val="00045209"/>
    <w:rsid w:val="000765DD"/>
    <w:rsid w:val="00097AA8"/>
    <w:rsid w:val="000A4935"/>
    <w:rsid w:val="000A7F11"/>
    <w:rsid w:val="000C160D"/>
    <w:rsid w:val="000C471F"/>
    <w:rsid w:val="000D39B2"/>
    <w:rsid w:val="000E6D7C"/>
    <w:rsid w:val="0010075E"/>
    <w:rsid w:val="00101E3B"/>
    <w:rsid w:val="00124A04"/>
    <w:rsid w:val="00127A4F"/>
    <w:rsid w:val="00140442"/>
    <w:rsid w:val="0014294F"/>
    <w:rsid w:val="00144A19"/>
    <w:rsid w:val="001515EE"/>
    <w:rsid w:val="001551F4"/>
    <w:rsid w:val="00156530"/>
    <w:rsid w:val="001853F6"/>
    <w:rsid w:val="00186DD5"/>
    <w:rsid w:val="0019509A"/>
    <w:rsid w:val="00197D75"/>
    <w:rsid w:val="001B64CE"/>
    <w:rsid w:val="001E731F"/>
    <w:rsid w:val="0024189B"/>
    <w:rsid w:val="00257CC5"/>
    <w:rsid w:val="0027657E"/>
    <w:rsid w:val="00283350"/>
    <w:rsid w:val="002E1DCC"/>
    <w:rsid w:val="003008C9"/>
    <w:rsid w:val="00310721"/>
    <w:rsid w:val="00313490"/>
    <w:rsid w:val="0032059C"/>
    <w:rsid w:val="00326EC3"/>
    <w:rsid w:val="00335394"/>
    <w:rsid w:val="003450CD"/>
    <w:rsid w:val="00360A21"/>
    <w:rsid w:val="00371CD2"/>
    <w:rsid w:val="003B6A82"/>
    <w:rsid w:val="00400DC3"/>
    <w:rsid w:val="00404B8E"/>
    <w:rsid w:val="00407E5F"/>
    <w:rsid w:val="004150F9"/>
    <w:rsid w:val="00420EBC"/>
    <w:rsid w:val="00422BF1"/>
    <w:rsid w:val="00422E92"/>
    <w:rsid w:val="00423826"/>
    <w:rsid w:val="004311C2"/>
    <w:rsid w:val="0043127E"/>
    <w:rsid w:val="00440F75"/>
    <w:rsid w:val="00452FC2"/>
    <w:rsid w:val="0047325C"/>
    <w:rsid w:val="004949F8"/>
    <w:rsid w:val="004A641E"/>
    <w:rsid w:val="004B3BAB"/>
    <w:rsid w:val="004B6C88"/>
    <w:rsid w:val="004D7311"/>
    <w:rsid w:val="004D7AD3"/>
    <w:rsid w:val="004E1FCD"/>
    <w:rsid w:val="00507D73"/>
    <w:rsid w:val="00514263"/>
    <w:rsid w:val="005313FE"/>
    <w:rsid w:val="00534E0E"/>
    <w:rsid w:val="00537FA2"/>
    <w:rsid w:val="00546C2A"/>
    <w:rsid w:val="005568DD"/>
    <w:rsid w:val="0056139B"/>
    <w:rsid w:val="005742A4"/>
    <w:rsid w:val="00593011"/>
    <w:rsid w:val="00597AF4"/>
    <w:rsid w:val="005C12BE"/>
    <w:rsid w:val="005C1855"/>
    <w:rsid w:val="005E79AF"/>
    <w:rsid w:val="005E7F25"/>
    <w:rsid w:val="00603313"/>
    <w:rsid w:val="00626EC1"/>
    <w:rsid w:val="006434B6"/>
    <w:rsid w:val="00657B2F"/>
    <w:rsid w:val="006C04CA"/>
    <w:rsid w:val="006C333C"/>
    <w:rsid w:val="006D5245"/>
    <w:rsid w:val="00700710"/>
    <w:rsid w:val="007023CE"/>
    <w:rsid w:val="007026EB"/>
    <w:rsid w:val="00706CCE"/>
    <w:rsid w:val="007134A8"/>
    <w:rsid w:val="007332C4"/>
    <w:rsid w:val="00733F24"/>
    <w:rsid w:val="00733F45"/>
    <w:rsid w:val="00745E41"/>
    <w:rsid w:val="00752493"/>
    <w:rsid w:val="007525E3"/>
    <w:rsid w:val="0075311D"/>
    <w:rsid w:val="00762078"/>
    <w:rsid w:val="00766EA3"/>
    <w:rsid w:val="00781CA9"/>
    <w:rsid w:val="007A5CF3"/>
    <w:rsid w:val="007B3E0D"/>
    <w:rsid w:val="007F0E3F"/>
    <w:rsid w:val="008055B4"/>
    <w:rsid w:val="008362FF"/>
    <w:rsid w:val="00837919"/>
    <w:rsid w:val="00840280"/>
    <w:rsid w:val="0084321A"/>
    <w:rsid w:val="00874BE5"/>
    <w:rsid w:val="00875DCE"/>
    <w:rsid w:val="0088174E"/>
    <w:rsid w:val="008A062A"/>
    <w:rsid w:val="008B0A7F"/>
    <w:rsid w:val="008B4D63"/>
    <w:rsid w:val="008C3D71"/>
    <w:rsid w:val="008C4CC3"/>
    <w:rsid w:val="008D1AAC"/>
    <w:rsid w:val="008D4BEF"/>
    <w:rsid w:val="008E512D"/>
    <w:rsid w:val="008E7AB2"/>
    <w:rsid w:val="00900C16"/>
    <w:rsid w:val="0092481C"/>
    <w:rsid w:val="00927725"/>
    <w:rsid w:val="009450D3"/>
    <w:rsid w:val="009459ED"/>
    <w:rsid w:val="00945CAA"/>
    <w:rsid w:val="00947285"/>
    <w:rsid w:val="00966B57"/>
    <w:rsid w:val="00970988"/>
    <w:rsid w:val="00972518"/>
    <w:rsid w:val="009754A8"/>
    <w:rsid w:val="0098124B"/>
    <w:rsid w:val="009C6F24"/>
    <w:rsid w:val="009D4635"/>
    <w:rsid w:val="009D617B"/>
    <w:rsid w:val="009D6725"/>
    <w:rsid w:val="009F2ADA"/>
    <w:rsid w:val="00A057E5"/>
    <w:rsid w:val="00A30EFD"/>
    <w:rsid w:val="00A330F2"/>
    <w:rsid w:val="00A3318D"/>
    <w:rsid w:val="00A615A0"/>
    <w:rsid w:val="00A661F0"/>
    <w:rsid w:val="00A702AB"/>
    <w:rsid w:val="00A94F92"/>
    <w:rsid w:val="00AA041A"/>
    <w:rsid w:val="00AA0CB0"/>
    <w:rsid w:val="00AB1350"/>
    <w:rsid w:val="00AC7F07"/>
    <w:rsid w:val="00AD49CA"/>
    <w:rsid w:val="00AE5F17"/>
    <w:rsid w:val="00AF5B3D"/>
    <w:rsid w:val="00B15A8A"/>
    <w:rsid w:val="00B37924"/>
    <w:rsid w:val="00B53C37"/>
    <w:rsid w:val="00B719B3"/>
    <w:rsid w:val="00B84312"/>
    <w:rsid w:val="00BA12F2"/>
    <w:rsid w:val="00BA72E9"/>
    <w:rsid w:val="00BC7237"/>
    <w:rsid w:val="00BF48BE"/>
    <w:rsid w:val="00BF5A3F"/>
    <w:rsid w:val="00C13082"/>
    <w:rsid w:val="00C569C6"/>
    <w:rsid w:val="00C80EB0"/>
    <w:rsid w:val="00C85A9C"/>
    <w:rsid w:val="00CB1D3B"/>
    <w:rsid w:val="00CB364E"/>
    <w:rsid w:val="00CD132D"/>
    <w:rsid w:val="00D00BB4"/>
    <w:rsid w:val="00D115EE"/>
    <w:rsid w:val="00D34BD5"/>
    <w:rsid w:val="00D66A24"/>
    <w:rsid w:val="00D734B7"/>
    <w:rsid w:val="00D778BD"/>
    <w:rsid w:val="00D8333C"/>
    <w:rsid w:val="00DA16A8"/>
    <w:rsid w:val="00DB1B30"/>
    <w:rsid w:val="00DB42BD"/>
    <w:rsid w:val="00DD0FA7"/>
    <w:rsid w:val="00DD716F"/>
    <w:rsid w:val="00DF0712"/>
    <w:rsid w:val="00DF0D6F"/>
    <w:rsid w:val="00DF3A31"/>
    <w:rsid w:val="00E11A95"/>
    <w:rsid w:val="00E1768B"/>
    <w:rsid w:val="00E24B60"/>
    <w:rsid w:val="00E254F7"/>
    <w:rsid w:val="00E34BF9"/>
    <w:rsid w:val="00E34F81"/>
    <w:rsid w:val="00E37D53"/>
    <w:rsid w:val="00E6205B"/>
    <w:rsid w:val="00E624C3"/>
    <w:rsid w:val="00E67A9C"/>
    <w:rsid w:val="00E7115A"/>
    <w:rsid w:val="00E73C45"/>
    <w:rsid w:val="00E80674"/>
    <w:rsid w:val="00E81480"/>
    <w:rsid w:val="00E9421B"/>
    <w:rsid w:val="00E9584A"/>
    <w:rsid w:val="00E97F6C"/>
    <w:rsid w:val="00EA29FF"/>
    <w:rsid w:val="00EA5F60"/>
    <w:rsid w:val="00EB52EF"/>
    <w:rsid w:val="00F025FC"/>
    <w:rsid w:val="00F175AB"/>
    <w:rsid w:val="00F20B52"/>
    <w:rsid w:val="00F4693F"/>
    <w:rsid w:val="00F51265"/>
    <w:rsid w:val="00FB06FE"/>
    <w:rsid w:val="00FB3088"/>
    <w:rsid w:val="00FC39E7"/>
    <w:rsid w:val="00FF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2F41"/>
  <w15:chartTrackingRefBased/>
  <w15:docId w15:val="{7BAA8A87-774E-4F34-935D-069EF79B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21"/>
    <w:pPr>
      <w:spacing w:before="240" w:after="0" w:line="240" w:lineRule="auto"/>
    </w:pPr>
    <w:rPr>
      <w:rFonts w:ascii="Arial" w:hAnsi="Arial"/>
    </w:rPr>
  </w:style>
  <w:style w:type="paragraph" w:styleId="Heading1">
    <w:name w:val="heading 1"/>
    <w:basedOn w:val="Normal"/>
    <w:next w:val="Normal"/>
    <w:link w:val="Heading1Char"/>
    <w:uiPriority w:val="9"/>
    <w:qFormat/>
    <w:rsid w:val="00945CAA"/>
    <w:pPr>
      <w:keepNext/>
      <w:keepLines/>
      <w:spacing w:before="36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945CAA"/>
    <w:pPr>
      <w:keepNext/>
      <w:keepLines/>
      <w:outlineLvl w:val="1"/>
    </w:pPr>
    <w:rPr>
      <w:rFonts w:eastAsiaTheme="majorEastAsia" w:cstheme="majorBidi"/>
      <w:b/>
      <w:i/>
      <w:sz w:val="28"/>
      <w:szCs w:val="32"/>
    </w:rPr>
  </w:style>
  <w:style w:type="paragraph" w:styleId="Heading3">
    <w:name w:val="heading 3"/>
    <w:basedOn w:val="Normal"/>
    <w:next w:val="Normal"/>
    <w:link w:val="Heading3Char"/>
    <w:uiPriority w:val="9"/>
    <w:unhideWhenUsed/>
    <w:qFormat/>
    <w:rsid w:val="00945CAA"/>
    <w:pPr>
      <w:keepNext/>
      <w:keepLines/>
      <w:outlineLvl w:val="2"/>
    </w:pPr>
    <w:rPr>
      <w:rFonts w:eastAsiaTheme="majorEastAsia" w:cstheme="majorBidi"/>
      <w:b/>
      <w:sz w:val="26"/>
      <w:szCs w:val="28"/>
    </w:rPr>
  </w:style>
  <w:style w:type="paragraph" w:styleId="Heading4">
    <w:name w:val="heading 4"/>
    <w:basedOn w:val="Normal"/>
    <w:next w:val="Normal"/>
    <w:link w:val="Heading4Char"/>
    <w:uiPriority w:val="9"/>
    <w:unhideWhenUsed/>
    <w:qFormat/>
    <w:rsid w:val="00945CAA"/>
    <w:pPr>
      <w:keepNext/>
      <w:keepLines/>
      <w:outlineLvl w:val="3"/>
    </w:pPr>
    <w:rPr>
      <w:rFonts w:eastAsiaTheme="majorEastAsia" w:cstheme="majorBidi"/>
      <w:b/>
      <w:i/>
      <w:iCs/>
      <w:color w:val="0F4761" w:themeColor="accent1" w:themeShade="BF"/>
    </w:rPr>
  </w:style>
  <w:style w:type="paragraph" w:styleId="Heading5">
    <w:name w:val="heading 5"/>
    <w:basedOn w:val="Normal"/>
    <w:next w:val="Normal"/>
    <w:link w:val="Heading5Char"/>
    <w:uiPriority w:val="9"/>
    <w:semiHidden/>
    <w:unhideWhenUsed/>
    <w:qFormat/>
    <w:rsid w:val="00BF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CAA"/>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945CAA"/>
    <w:rPr>
      <w:rFonts w:ascii="Arial" w:eastAsiaTheme="majorEastAsia" w:hAnsi="Arial" w:cstheme="majorBidi"/>
      <w:b/>
      <w:i/>
      <w:sz w:val="28"/>
      <w:szCs w:val="32"/>
    </w:rPr>
  </w:style>
  <w:style w:type="character" w:customStyle="1" w:styleId="Heading3Char">
    <w:name w:val="Heading 3 Char"/>
    <w:basedOn w:val="DefaultParagraphFont"/>
    <w:link w:val="Heading3"/>
    <w:uiPriority w:val="9"/>
    <w:rsid w:val="00945CAA"/>
    <w:rPr>
      <w:rFonts w:ascii="Arial" w:eastAsiaTheme="majorEastAsia" w:hAnsi="Arial" w:cstheme="majorBidi"/>
      <w:b/>
      <w:sz w:val="26"/>
      <w:szCs w:val="28"/>
    </w:rPr>
  </w:style>
  <w:style w:type="character" w:customStyle="1" w:styleId="Heading4Char">
    <w:name w:val="Heading 4 Char"/>
    <w:basedOn w:val="DefaultParagraphFont"/>
    <w:link w:val="Heading4"/>
    <w:uiPriority w:val="9"/>
    <w:rsid w:val="00945CAA"/>
    <w:rPr>
      <w:rFonts w:ascii="Arial" w:eastAsiaTheme="majorEastAsia" w:hAnsi="Arial" w:cstheme="majorBidi"/>
      <w:b/>
      <w:i/>
      <w:iCs/>
      <w:color w:val="0F4761" w:themeColor="accent1" w:themeShade="BF"/>
    </w:rPr>
  </w:style>
  <w:style w:type="character" w:customStyle="1" w:styleId="Heading5Char">
    <w:name w:val="Heading 5 Char"/>
    <w:basedOn w:val="DefaultParagraphFont"/>
    <w:link w:val="Heading5"/>
    <w:uiPriority w:val="9"/>
    <w:semiHidden/>
    <w:rsid w:val="00BF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BE"/>
    <w:rPr>
      <w:rFonts w:eastAsiaTheme="majorEastAsia" w:cstheme="majorBidi"/>
      <w:color w:val="272727" w:themeColor="text1" w:themeTint="D8"/>
    </w:rPr>
  </w:style>
  <w:style w:type="paragraph" w:styleId="Title">
    <w:name w:val="Title"/>
    <w:basedOn w:val="Normal"/>
    <w:next w:val="Normal"/>
    <w:link w:val="TitleChar"/>
    <w:uiPriority w:val="10"/>
    <w:qFormat/>
    <w:rsid w:val="00BF48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BE"/>
    <w:pPr>
      <w:spacing w:before="160"/>
      <w:jc w:val="center"/>
    </w:pPr>
    <w:rPr>
      <w:i/>
      <w:iCs/>
      <w:color w:val="404040" w:themeColor="text1" w:themeTint="BF"/>
    </w:rPr>
  </w:style>
  <w:style w:type="character" w:customStyle="1" w:styleId="QuoteChar">
    <w:name w:val="Quote Char"/>
    <w:basedOn w:val="DefaultParagraphFont"/>
    <w:link w:val="Quote"/>
    <w:uiPriority w:val="29"/>
    <w:rsid w:val="00BF48BE"/>
    <w:rPr>
      <w:i/>
      <w:iCs/>
      <w:color w:val="404040" w:themeColor="text1" w:themeTint="BF"/>
    </w:rPr>
  </w:style>
  <w:style w:type="paragraph" w:styleId="ListParagraph">
    <w:name w:val="List Paragraph"/>
    <w:basedOn w:val="Normal"/>
    <w:uiPriority w:val="34"/>
    <w:qFormat/>
    <w:rsid w:val="00BF48BE"/>
    <w:pPr>
      <w:ind w:left="720"/>
      <w:contextualSpacing/>
    </w:pPr>
  </w:style>
  <w:style w:type="character" w:styleId="IntenseEmphasis">
    <w:name w:val="Intense Emphasis"/>
    <w:basedOn w:val="DefaultParagraphFont"/>
    <w:uiPriority w:val="21"/>
    <w:qFormat/>
    <w:rsid w:val="00BF48BE"/>
    <w:rPr>
      <w:i/>
      <w:iCs/>
      <w:color w:val="0F4761" w:themeColor="accent1" w:themeShade="BF"/>
    </w:rPr>
  </w:style>
  <w:style w:type="paragraph" w:styleId="IntenseQuote">
    <w:name w:val="Intense Quote"/>
    <w:basedOn w:val="Normal"/>
    <w:next w:val="Normal"/>
    <w:link w:val="IntenseQuoteChar"/>
    <w:uiPriority w:val="30"/>
    <w:qFormat/>
    <w:rsid w:val="00BF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BE"/>
    <w:rPr>
      <w:i/>
      <w:iCs/>
      <w:color w:val="0F4761" w:themeColor="accent1" w:themeShade="BF"/>
    </w:rPr>
  </w:style>
  <w:style w:type="character" w:styleId="IntenseReference">
    <w:name w:val="Intense Reference"/>
    <w:basedOn w:val="DefaultParagraphFont"/>
    <w:uiPriority w:val="32"/>
    <w:qFormat/>
    <w:rsid w:val="00BF48BE"/>
    <w:rPr>
      <w:b/>
      <w:bCs/>
      <w:smallCaps/>
      <w:color w:val="0F4761" w:themeColor="accent1" w:themeShade="BF"/>
      <w:spacing w:val="5"/>
    </w:rPr>
  </w:style>
  <w:style w:type="paragraph" w:styleId="Header">
    <w:name w:val="header"/>
    <w:basedOn w:val="Normal"/>
    <w:link w:val="HeaderChar"/>
    <w:uiPriority w:val="99"/>
    <w:unhideWhenUsed/>
    <w:rsid w:val="00BF48BE"/>
    <w:pPr>
      <w:tabs>
        <w:tab w:val="center" w:pos="4680"/>
        <w:tab w:val="right" w:pos="9360"/>
      </w:tabs>
    </w:pPr>
  </w:style>
  <w:style w:type="character" w:customStyle="1" w:styleId="HeaderChar">
    <w:name w:val="Header Char"/>
    <w:basedOn w:val="DefaultParagraphFont"/>
    <w:link w:val="Header"/>
    <w:uiPriority w:val="99"/>
    <w:rsid w:val="00BF48BE"/>
  </w:style>
  <w:style w:type="paragraph" w:styleId="Footer">
    <w:name w:val="footer"/>
    <w:basedOn w:val="Normal"/>
    <w:link w:val="FooterChar"/>
    <w:uiPriority w:val="99"/>
    <w:unhideWhenUsed/>
    <w:rsid w:val="00BF48BE"/>
    <w:pPr>
      <w:tabs>
        <w:tab w:val="center" w:pos="4680"/>
        <w:tab w:val="right" w:pos="9360"/>
      </w:tabs>
    </w:pPr>
  </w:style>
  <w:style w:type="character" w:customStyle="1" w:styleId="FooterChar">
    <w:name w:val="Footer Char"/>
    <w:basedOn w:val="DefaultParagraphFont"/>
    <w:link w:val="Footer"/>
    <w:uiPriority w:val="99"/>
    <w:rsid w:val="00BF48BE"/>
  </w:style>
  <w:style w:type="character" w:styleId="Hyperlink">
    <w:name w:val="Hyperlink"/>
    <w:basedOn w:val="DefaultParagraphFont"/>
    <w:uiPriority w:val="99"/>
    <w:unhideWhenUsed/>
    <w:rsid w:val="00706CCE"/>
    <w:rPr>
      <w:color w:val="467886" w:themeColor="hyperlink"/>
      <w:u w:val="single"/>
    </w:rPr>
  </w:style>
  <w:style w:type="character" w:styleId="UnresolvedMention">
    <w:name w:val="Unresolved Mention"/>
    <w:basedOn w:val="DefaultParagraphFont"/>
    <w:uiPriority w:val="99"/>
    <w:semiHidden/>
    <w:unhideWhenUsed/>
    <w:rsid w:val="00706CCE"/>
    <w:rPr>
      <w:color w:val="605E5C"/>
      <w:shd w:val="clear" w:color="auto" w:fill="E1DFDD"/>
    </w:rPr>
  </w:style>
  <w:style w:type="character" w:styleId="FollowedHyperlink">
    <w:name w:val="FollowedHyperlink"/>
    <w:basedOn w:val="DefaultParagraphFont"/>
    <w:uiPriority w:val="99"/>
    <w:semiHidden/>
    <w:unhideWhenUsed/>
    <w:rsid w:val="00706CCE"/>
    <w:rPr>
      <w:color w:val="96607D" w:themeColor="followedHyperlink"/>
      <w:u w:val="single"/>
    </w:rPr>
  </w:style>
  <w:style w:type="paragraph" w:styleId="TOCHeading">
    <w:name w:val="TOC Heading"/>
    <w:basedOn w:val="Heading1"/>
    <w:next w:val="Normal"/>
    <w:uiPriority w:val="39"/>
    <w:unhideWhenUsed/>
    <w:qFormat/>
    <w:rsid w:val="004D7AD3"/>
    <w:pPr>
      <w:spacing w:before="240" w:line="259" w:lineRule="auto"/>
      <w:outlineLvl w:val="9"/>
    </w:pPr>
    <w:rPr>
      <w:rFonts w:asciiTheme="majorHAnsi" w:hAnsiTheme="majorHAnsi"/>
      <w:b w:val="0"/>
      <w:kern w:val="0"/>
      <w:szCs w:val="32"/>
      <w14:ligatures w14:val="none"/>
    </w:rPr>
  </w:style>
  <w:style w:type="paragraph" w:styleId="TOC1">
    <w:name w:val="toc 1"/>
    <w:basedOn w:val="Normal"/>
    <w:next w:val="Normal"/>
    <w:autoRedefine/>
    <w:uiPriority w:val="39"/>
    <w:unhideWhenUsed/>
    <w:rsid w:val="004D7AD3"/>
    <w:pPr>
      <w:spacing w:after="100"/>
    </w:pPr>
  </w:style>
  <w:style w:type="paragraph" w:styleId="TOC2">
    <w:name w:val="toc 2"/>
    <w:basedOn w:val="Normal"/>
    <w:next w:val="Normal"/>
    <w:autoRedefine/>
    <w:uiPriority w:val="39"/>
    <w:unhideWhenUsed/>
    <w:rsid w:val="004D7AD3"/>
    <w:pPr>
      <w:spacing w:after="100"/>
      <w:ind w:left="240"/>
    </w:pPr>
  </w:style>
  <w:style w:type="paragraph" w:styleId="TOC3">
    <w:name w:val="toc 3"/>
    <w:basedOn w:val="Normal"/>
    <w:next w:val="Normal"/>
    <w:autoRedefine/>
    <w:uiPriority w:val="39"/>
    <w:unhideWhenUsed/>
    <w:rsid w:val="004D7AD3"/>
    <w:pPr>
      <w:spacing w:after="100"/>
      <w:ind w:left="480"/>
    </w:pPr>
  </w:style>
  <w:style w:type="paragraph" w:styleId="TOC4">
    <w:name w:val="toc 4"/>
    <w:basedOn w:val="Normal"/>
    <w:next w:val="Normal"/>
    <w:autoRedefine/>
    <w:uiPriority w:val="39"/>
    <w:unhideWhenUsed/>
    <w:rsid w:val="004D7AD3"/>
    <w:pPr>
      <w:spacing w:before="0" w:after="100" w:line="278" w:lineRule="auto"/>
      <w:ind w:left="720"/>
    </w:pPr>
    <w:rPr>
      <w:rFonts w:asciiTheme="minorHAnsi" w:eastAsiaTheme="minorEastAsia" w:hAnsiTheme="minorHAnsi"/>
    </w:rPr>
  </w:style>
  <w:style w:type="paragraph" w:styleId="TOC5">
    <w:name w:val="toc 5"/>
    <w:basedOn w:val="Normal"/>
    <w:next w:val="Normal"/>
    <w:autoRedefine/>
    <w:uiPriority w:val="39"/>
    <w:unhideWhenUsed/>
    <w:rsid w:val="004D7AD3"/>
    <w:pPr>
      <w:spacing w:before="0" w:after="100" w:line="278" w:lineRule="auto"/>
      <w:ind w:left="960"/>
    </w:pPr>
    <w:rPr>
      <w:rFonts w:asciiTheme="minorHAnsi" w:eastAsiaTheme="minorEastAsia" w:hAnsiTheme="minorHAnsi"/>
    </w:rPr>
  </w:style>
  <w:style w:type="paragraph" w:styleId="TOC6">
    <w:name w:val="toc 6"/>
    <w:basedOn w:val="Normal"/>
    <w:next w:val="Normal"/>
    <w:autoRedefine/>
    <w:uiPriority w:val="39"/>
    <w:unhideWhenUsed/>
    <w:rsid w:val="004D7AD3"/>
    <w:pPr>
      <w:spacing w:before="0" w:after="100" w:line="278" w:lineRule="auto"/>
      <w:ind w:left="1200"/>
    </w:pPr>
    <w:rPr>
      <w:rFonts w:asciiTheme="minorHAnsi" w:eastAsiaTheme="minorEastAsia" w:hAnsiTheme="minorHAnsi"/>
    </w:rPr>
  </w:style>
  <w:style w:type="paragraph" w:styleId="TOC7">
    <w:name w:val="toc 7"/>
    <w:basedOn w:val="Normal"/>
    <w:next w:val="Normal"/>
    <w:autoRedefine/>
    <w:uiPriority w:val="39"/>
    <w:unhideWhenUsed/>
    <w:rsid w:val="004D7AD3"/>
    <w:pPr>
      <w:spacing w:before="0" w:after="100" w:line="278" w:lineRule="auto"/>
      <w:ind w:left="1440"/>
    </w:pPr>
    <w:rPr>
      <w:rFonts w:asciiTheme="minorHAnsi" w:eastAsiaTheme="minorEastAsia" w:hAnsiTheme="minorHAnsi"/>
    </w:rPr>
  </w:style>
  <w:style w:type="paragraph" w:styleId="TOC8">
    <w:name w:val="toc 8"/>
    <w:basedOn w:val="Normal"/>
    <w:next w:val="Normal"/>
    <w:autoRedefine/>
    <w:uiPriority w:val="39"/>
    <w:unhideWhenUsed/>
    <w:rsid w:val="004D7AD3"/>
    <w:pPr>
      <w:spacing w:before="0" w:after="100" w:line="278" w:lineRule="auto"/>
      <w:ind w:left="1680"/>
    </w:pPr>
    <w:rPr>
      <w:rFonts w:asciiTheme="minorHAnsi" w:eastAsiaTheme="minorEastAsia" w:hAnsiTheme="minorHAnsi"/>
    </w:rPr>
  </w:style>
  <w:style w:type="paragraph" w:styleId="TOC9">
    <w:name w:val="toc 9"/>
    <w:basedOn w:val="Normal"/>
    <w:next w:val="Normal"/>
    <w:autoRedefine/>
    <w:uiPriority w:val="39"/>
    <w:unhideWhenUsed/>
    <w:rsid w:val="004D7AD3"/>
    <w:pPr>
      <w:spacing w:before="0" w:after="100" w:line="278" w:lineRule="auto"/>
      <w:ind w:left="1920"/>
    </w:pPr>
    <w:rPr>
      <w:rFonts w:asciiTheme="minorHAnsi" w:eastAsiaTheme="minorEastAsia" w:hAnsiTheme="minorHAnsi"/>
    </w:rPr>
  </w:style>
  <w:style w:type="paragraph" w:styleId="Revision">
    <w:name w:val="Revision"/>
    <w:hidden/>
    <w:uiPriority w:val="99"/>
    <w:semiHidden/>
    <w:rsid w:val="0024189B"/>
    <w:pPr>
      <w:spacing w:after="0" w:line="240" w:lineRule="auto"/>
    </w:pPr>
    <w:rPr>
      <w:rFonts w:ascii="Arial" w:hAnsi="Arial"/>
    </w:rPr>
  </w:style>
  <w:style w:type="character" w:styleId="CommentReference">
    <w:name w:val="annotation reference"/>
    <w:basedOn w:val="DefaultParagraphFont"/>
    <w:uiPriority w:val="99"/>
    <w:semiHidden/>
    <w:unhideWhenUsed/>
    <w:rsid w:val="0024189B"/>
    <w:rPr>
      <w:sz w:val="16"/>
      <w:szCs w:val="16"/>
    </w:rPr>
  </w:style>
  <w:style w:type="paragraph" w:styleId="CommentText">
    <w:name w:val="annotation text"/>
    <w:basedOn w:val="Normal"/>
    <w:link w:val="CommentTextChar"/>
    <w:uiPriority w:val="99"/>
    <w:unhideWhenUsed/>
    <w:rsid w:val="0024189B"/>
    <w:rPr>
      <w:sz w:val="20"/>
      <w:szCs w:val="20"/>
    </w:rPr>
  </w:style>
  <w:style w:type="character" w:customStyle="1" w:styleId="CommentTextChar">
    <w:name w:val="Comment Text Char"/>
    <w:basedOn w:val="DefaultParagraphFont"/>
    <w:link w:val="CommentText"/>
    <w:uiPriority w:val="99"/>
    <w:rsid w:val="002418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89B"/>
    <w:rPr>
      <w:b/>
      <w:bCs/>
    </w:rPr>
  </w:style>
  <w:style w:type="character" w:customStyle="1" w:styleId="CommentSubjectChar">
    <w:name w:val="Comment Subject Char"/>
    <w:basedOn w:val="CommentTextChar"/>
    <w:link w:val="CommentSubject"/>
    <w:uiPriority w:val="99"/>
    <w:semiHidden/>
    <w:rsid w:val="0024189B"/>
    <w:rPr>
      <w:rFonts w:ascii="Arial" w:hAnsi="Arial"/>
      <w:b/>
      <w:bCs/>
      <w:sz w:val="20"/>
      <w:szCs w:val="20"/>
    </w:rPr>
  </w:style>
  <w:style w:type="paragraph" w:styleId="NoSpacing">
    <w:name w:val="No Spacing"/>
    <w:uiPriority w:val="1"/>
    <w:qFormat/>
    <w:rsid w:val="008E512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3D786-986C-4E36-978D-B18B0F1C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42</Pages>
  <Words>13106</Words>
  <Characters>74709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Articulate</dc:creator>
  <cp:keywords/>
  <dc:description/>
  <cp:lastModifiedBy>Brian Keefer</cp:lastModifiedBy>
  <cp:revision>122</cp:revision>
  <dcterms:created xsi:type="dcterms:W3CDTF">2025-12-01T18:39:00Z</dcterms:created>
  <dcterms:modified xsi:type="dcterms:W3CDTF">2025-12-06T21:43:00Z</dcterms:modified>
</cp:coreProperties>
</file>